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7F4B" w14:textId="14A213C1" w:rsidR="00207864" w:rsidRDefault="00207864" w:rsidP="00027CC4">
      <w:pPr>
        <w:jc w:val="center"/>
        <w:rPr>
          <w:b/>
          <w:bCs/>
          <w:sz w:val="32"/>
          <w:szCs w:val="32"/>
        </w:rPr>
      </w:pPr>
      <w:r w:rsidRPr="00207864">
        <w:rPr>
          <w:b/>
          <w:bCs/>
          <w:sz w:val="32"/>
          <w:szCs w:val="32"/>
        </w:rPr>
        <w:t xml:space="preserve">Knowledge, attitude, and practices on COVID-19 prevention among college students after an online health education program </w:t>
      </w:r>
    </w:p>
    <w:p w14:paraId="4168CDC6" w14:textId="4B62EAAF" w:rsidR="00025339" w:rsidRDefault="00025339" w:rsidP="00027CC4">
      <w:pPr>
        <w:jc w:val="center"/>
        <w:rPr>
          <w:b/>
          <w:bCs/>
          <w:sz w:val="32"/>
          <w:szCs w:val="32"/>
        </w:rPr>
      </w:pPr>
    </w:p>
    <w:p w14:paraId="5F814AEA" w14:textId="69AFD76A" w:rsidR="008E0DAE" w:rsidRDefault="00025339" w:rsidP="00025339">
      <w:pPr>
        <w:jc w:val="center"/>
        <w:rPr>
          <w:b/>
          <w:color w:val="000000" w:themeColor="text1"/>
        </w:rPr>
      </w:pPr>
      <w:proofErr w:type="spellStart"/>
      <w:r w:rsidRPr="00025339">
        <w:rPr>
          <w:b/>
          <w:color w:val="000000" w:themeColor="text1"/>
        </w:rPr>
        <w:t>Resti</w:t>
      </w:r>
      <w:proofErr w:type="spellEnd"/>
      <w:r w:rsidRPr="00025339">
        <w:rPr>
          <w:b/>
          <w:color w:val="000000" w:themeColor="text1"/>
        </w:rPr>
        <w:t xml:space="preserve"> Tito Villarino</w:t>
      </w:r>
      <w:r w:rsidRPr="00025339">
        <w:rPr>
          <w:b/>
          <w:color w:val="000000" w:themeColor="text1"/>
          <w:vertAlign w:val="superscript"/>
        </w:rPr>
        <w:t>1</w:t>
      </w:r>
      <w:proofErr w:type="gramStart"/>
      <w:r w:rsidRPr="00025339">
        <w:rPr>
          <w:b/>
          <w:color w:val="000000" w:themeColor="text1"/>
          <w:vertAlign w:val="superscript"/>
        </w:rPr>
        <w:t>,2</w:t>
      </w:r>
      <w:proofErr w:type="gramEnd"/>
      <w:r w:rsidRPr="00025339">
        <w:rPr>
          <w:b/>
          <w:color w:val="000000" w:themeColor="text1"/>
          <w:vertAlign w:val="superscript"/>
        </w:rPr>
        <w:t>*</w:t>
      </w:r>
      <w:r w:rsidRPr="00025339">
        <w:rPr>
          <w:b/>
          <w:color w:val="000000" w:themeColor="text1"/>
        </w:rPr>
        <w:t xml:space="preserve">, Maureen </w:t>
      </w:r>
      <w:proofErr w:type="spellStart"/>
      <w:r w:rsidRPr="00025339">
        <w:rPr>
          <w:b/>
          <w:color w:val="000000" w:themeColor="text1"/>
        </w:rPr>
        <w:t>Lorence</w:t>
      </w:r>
      <w:proofErr w:type="spellEnd"/>
      <w:r w:rsidRPr="00025339">
        <w:rPr>
          <w:b/>
          <w:color w:val="000000" w:themeColor="text1"/>
        </w:rPr>
        <w:t xml:space="preserve"> Villarino</w:t>
      </w:r>
      <w:r w:rsidRPr="00025339">
        <w:rPr>
          <w:b/>
          <w:color w:val="000000" w:themeColor="text1"/>
          <w:vertAlign w:val="superscript"/>
        </w:rPr>
        <w:t>2,3</w:t>
      </w:r>
      <w:r w:rsidRPr="00025339">
        <w:rPr>
          <w:b/>
          <w:color w:val="000000" w:themeColor="text1"/>
        </w:rPr>
        <w:t>, Maria Concepcion Temblor</w:t>
      </w:r>
      <w:r w:rsidRPr="00025339">
        <w:rPr>
          <w:b/>
          <w:color w:val="000000" w:themeColor="text1"/>
          <w:vertAlign w:val="superscript"/>
        </w:rPr>
        <w:t>1,2</w:t>
      </w:r>
      <w:r w:rsidRPr="00025339">
        <w:rPr>
          <w:b/>
          <w:color w:val="000000" w:themeColor="text1"/>
        </w:rPr>
        <w:t xml:space="preserve">, </w:t>
      </w:r>
    </w:p>
    <w:p w14:paraId="35E7BF5D" w14:textId="0CF7E812" w:rsidR="00025339" w:rsidRPr="00025339" w:rsidRDefault="00025339" w:rsidP="00025339">
      <w:pPr>
        <w:jc w:val="center"/>
        <w:rPr>
          <w:b/>
          <w:color w:val="000000" w:themeColor="text1"/>
          <w:shd w:val="clear" w:color="auto" w:fill="FFFFFF"/>
        </w:rPr>
      </w:pPr>
      <w:r w:rsidRPr="00025339">
        <w:rPr>
          <w:b/>
          <w:color w:val="000000" w:themeColor="text1"/>
          <w:shd w:val="clear" w:color="auto" w:fill="FFFFFF"/>
        </w:rPr>
        <w:t>Prosper Bernard</w:t>
      </w:r>
      <w:r w:rsidRPr="00025339">
        <w:rPr>
          <w:b/>
          <w:color w:val="000000" w:themeColor="text1"/>
          <w:vertAlign w:val="superscript"/>
        </w:rPr>
        <w:t>4</w:t>
      </w:r>
      <w:r w:rsidRPr="00025339">
        <w:rPr>
          <w:b/>
          <w:color w:val="000000" w:themeColor="text1"/>
          <w:shd w:val="clear" w:color="auto" w:fill="FFFFFF"/>
        </w:rPr>
        <w:t xml:space="preserve">, </w:t>
      </w:r>
      <w:r w:rsidRPr="00025339">
        <w:rPr>
          <w:b/>
          <w:color w:val="000000" w:themeColor="text1"/>
        </w:rPr>
        <w:t>Michel Plaisent</w:t>
      </w:r>
      <w:r w:rsidRPr="00025339">
        <w:rPr>
          <w:b/>
          <w:color w:val="000000" w:themeColor="text1"/>
          <w:vertAlign w:val="superscript"/>
        </w:rPr>
        <w:t>4</w:t>
      </w:r>
    </w:p>
    <w:p w14:paraId="575502D3" w14:textId="0B51903F" w:rsidR="00025339" w:rsidRPr="00025339" w:rsidRDefault="00025339" w:rsidP="00025339">
      <w:pPr>
        <w:jc w:val="center"/>
        <w:rPr>
          <w:sz w:val="16"/>
          <w:szCs w:val="16"/>
        </w:rPr>
      </w:pPr>
      <w:r w:rsidRPr="00025339">
        <w:rPr>
          <w:color w:val="000000" w:themeColor="text1"/>
          <w:sz w:val="16"/>
          <w:szCs w:val="16"/>
          <w:vertAlign w:val="superscript"/>
        </w:rPr>
        <w:t>1</w:t>
      </w:r>
      <w:r w:rsidRPr="00025339">
        <w:rPr>
          <w:sz w:val="16"/>
          <w:szCs w:val="16"/>
        </w:rPr>
        <w:t xml:space="preserve">Cebu Technological University, </w:t>
      </w:r>
      <w:proofErr w:type="spellStart"/>
      <w:r w:rsidRPr="00025339">
        <w:rPr>
          <w:sz w:val="16"/>
          <w:szCs w:val="16"/>
        </w:rPr>
        <w:t>Moalboal</w:t>
      </w:r>
      <w:proofErr w:type="spellEnd"/>
      <w:r w:rsidRPr="00025339">
        <w:rPr>
          <w:sz w:val="16"/>
          <w:szCs w:val="16"/>
        </w:rPr>
        <w:t>, Cebu, Philippines</w:t>
      </w:r>
    </w:p>
    <w:p w14:paraId="735A4359" w14:textId="77777777" w:rsidR="00025339" w:rsidRPr="00025339" w:rsidRDefault="00025339" w:rsidP="00025339">
      <w:pPr>
        <w:jc w:val="center"/>
        <w:rPr>
          <w:sz w:val="16"/>
          <w:szCs w:val="16"/>
        </w:rPr>
      </w:pPr>
      <w:r w:rsidRPr="00025339">
        <w:rPr>
          <w:sz w:val="16"/>
          <w:szCs w:val="16"/>
          <w:vertAlign w:val="superscript"/>
        </w:rPr>
        <w:t>2</w:t>
      </w:r>
      <w:r w:rsidRPr="00025339">
        <w:rPr>
          <w:sz w:val="16"/>
          <w:szCs w:val="16"/>
        </w:rPr>
        <w:t>National Research Council of the Philippines, Manila, Philippines</w:t>
      </w:r>
    </w:p>
    <w:p w14:paraId="68D6A058" w14:textId="3E5ED128" w:rsidR="00025339" w:rsidRPr="00025339" w:rsidRDefault="00025339" w:rsidP="00025339">
      <w:pPr>
        <w:jc w:val="center"/>
        <w:rPr>
          <w:bCs/>
          <w:color w:val="000000" w:themeColor="text1"/>
          <w:sz w:val="16"/>
          <w:szCs w:val="16"/>
        </w:rPr>
      </w:pPr>
      <w:r w:rsidRPr="00025339">
        <w:rPr>
          <w:bCs/>
          <w:color w:val="000000" w:themeColor="text1"/>
          <w:sz w:val="16"/>
          <w:szCs w:val="16"/>
          <w:vertAlign w:val="superscript"/>
        </w:rPr>
        <w:t>3</w:t>
      </w:r>
      <w:r w:rsidRPr="00025339">
        <w:rPr>
          <w:bCs/>
          <w:color w:val="000000" w:themeColor="text1"/>
          <w:sz w:val="16"/>
          <w:szCs w:val="16"/>
        </w:rPr>
        <w:t xml:space="preserve">West </w:t>
      </w:r>
      <w:proofErr w:type="spellStart"/>
      <w:r w:rsidRPr="00025339">
        <w:rPr>
          <w:bCs/>
          <w:color w:val="000000" w:themeColor="text1"/>
          <w:sz w:val="16"/>
          <w:szCs w:val="16"/>
        </w:rPr>
        <w:t>Visayas</w:t>
      </w:r>
      <w:proofErr w:type="spellEnd"/>
      <w:r w:rsidRPr="00025339">
        <w:rPr>
          <w:bCs/>
          <w:color w:val="000000" w:themeColor="text1"/>
          <w:sz w:val="16"/>
          <w:szCs w:val="16"/>
        </w:rPr>
        <w:t xml:space="preserve"> State University, Iloilo City, Philippines</w:t>
      </w:r>
    </w:p>
    <w:p w14:paraId="0CD24948" w14:textId="5FA8391E" w:rsidR="00025339" w:rsidRPr="00025339" w:rsidRDefault="00025339" w:rsidP="00025339">
      <w:pPr>
        <w:jc w:val="center"/>
        <w:rPr>
          <w:color w:val="000000"/>
          <w:sz w:val="16"/>
          <w:szCs w:val="16"/>
        </w:rPr>
      </w:pPr>
      <w:r w:rsidRPr="00025339">
        <w:rPr>
          <w:bCs/>
          <w:color w:val="000000" w:themeColor="text1"/>
          <w:sz w:val="16"/>
          <w:szCs w:val="16"/>
          <w:vertAlign w:val="superscript"/>
        </w:rPr>
        <w:t>4</w:t>
      </w:r>
      <w:r w:rsidRPr="00025339">
        <w:rPr>
          <w:color w:val="000000" w:themeColor="text1"/>
          <w:sz w:val="16"/>
          <w:szCs w:val="16"/>
          <w:shd w:val="clear" w:color="auto" w:fill="FFFFFF"/>
        </w:rPr>
        <w:t>Université du Québec à Montréal, Montréal, QC, Canada</w:t>
      </w:r>
    </w:p>
    <w:p w14:paraId="370C47FE" w14:textId="7E2DCCF1" w:rsidR="005E51F9" w:rsidRPr="003847DA" w:rsidRDefault="005E51F9" w:rsidP="00025339">
      <w:pPr>
        <w:rPr>
          <w:b/>
          <w:bCs/>
        </w:rPr>
      </w:pPr>
    </w:p>
    <w:tbl>
      <w:tblPr>
        <w:tblStyle w:val="TableGrid"/>
        <w:tblW w:w="8845" w:type="dxa"/>
        <w:jc w:val="center"/>
        <w:tblLook w:val="04A0" w:firstRow="1" w:lastRow="0" w:firstColumn="1" w:lastColumn="0" w:noHBand="0" w:noVBand="1"/>
      </w:tblPr>
      <w:tblGrid>
        <w:gridCol w:w="2787"/>
        <w:gridCol w:w="282"/>
        <w:gridCol w:w="5776"/>
      </w:tblGrid>
      <w:tr w:rsidR="003847DA" w:rsidRPr="003847DA" w14:paraId="513CAD48" w14:textId="77777777" w:rsidTr="00025339">
        <w:trPr>
          <w:jc w:val="center"/>
        </w:trPr>
        <w:tc>
          <w:tcPr>
            <w:tcW w:w="2787" w:type="dxa"/>
            <w:tcBorders>
              <w:top w:val="double" w:sz="4" w:space="0" w:color="auto"/>
              <w:left w:val="nil"/>
              <w:bottom w:val="single" w:sz="4" w:space="0" w:color="auto"/>
              <w:right w:val="nil"/>
            </w:tcBorders>
          </w:tcPr>
          <w:p w14:paraId="22234552" w14:textId="65717B19" w:rsidR="00957C11" w:rsidRPr="003847DA" w:rsidRDefault="00957C11" w:rsidP="00957C11">
            <w:pPr>
              <w:spacing w:before="120"/>
              <w:jc w:val="both"/>
              <w:rPr>
                <w:b/>
              </w:rPr>
            </w:pPr>
            <w:r w:rsidRPr="003847DA">
              <w:rPr>
                <w:b/>
              </w:rPr>
              <w:t>Article Info</w:t>
            </w:r>
          </w:p>
        </w:tc>
        <w:tc>
          <w:tcPr>
            <w:tcW w:w="282" w:type="dxa"/>
            <w:tcBorders>
              <w:top w:val="double" w:sz="4" w:space="0" w:color="auto"/>
              <w:left w:val="nil"/>
              <w:bottom w:val="nil"/>
              <w:right w:val="nil"/>
            </w:tcBorders>
          </w:tcPr>
          <w:p w14:paraId="3E270EF1" w14:textId="4BE2AB26" w:rsidR="00957C11" w:rsidRPr="003847DA" w:rsidRDefault="00957C11" w:rsidP="00957C11">
            <w:pPr>
              <w:spacing w:before="120"/>
              <w:jc w:val="center"/>
            </w:pPr>
          </w:p>
        </w:tc>
        <w:tc>
          <w:tcPr>
            <w:tcW w:w="5776" w:type="dxa"/>
            <w:tcBorders>
              <w:top w:val="double" w:sz="4" w:space="0" w:color="auto"/>
              <w:left w:val="nil"/>
              <w:bottom w:val="single" w:sz="4" w:space="0" w:color="auto"/>
              <w:right w:val="nil"/>
            </w:tcBorders>
          </w:tcPr>
          <w:p w14:paraId="7B74F735" w14:textId="39C530AD" w:rsidR="00957C11" w:rsidRPr="003847DA" w:rsidRDefault="00957C11" w:rsidP="00957C11">
            <w:pPr>
              <w:spacing w:before="120"/>
              <w:rPr>
                <w:sz w:val="24"/>
                <w:szCs w:val="24"/>
              </w:rPr>
            </w:pPr>
            <w:r w:rsidRPr="003847DA">
              <w:rPr>
                <w:b/>
                <w:bCs/>
                <w:iCs/>
              </w:rPr>
              <w:t xml:space="preserve">ABSTRACT </w:t>
            </w:r>
            <w:r w:rsidRPr="003847DA">
              <w:rPr>
                <w:sz w:val="18"/>
                <w:szCs w:val="18"/>
              </w:rPr>
              <w:t>(10 PT)</w:t>
            </w:r>
          </w:p>
        </w:tc>
      </w:tr>
      <w:tr w:rsidR="003847DA" w:rsidRPr="003847DA" w14:paraId="66C69584" w14:textId="77777777" w:rsidTr="00025339">
        <w:trPr>
          <w:trHeight w:val="1268"/>
          <w:jc w:val="center"/>
        </w:trPr>
        <w:tc>
          <w:tcPr>
            <w:tcW w:w="2787" w:type="dxa"/>
            <w:tcBorders>
              <w:top w:val="single" w:sz="4" w:space="0" w:color="auto"/>
              <w:left w:val="nil"/>
              <w:bottom w:val="single" w:sz="4" w:space="0" w:color="auto"/>
              <w:right w:val="nil"/>
            </w:tcBorders>
          </w:tcPr>
          <w:p w14:paraId="1FD074E8" w14:textId="15D16EB2" w:rsidR="00941203" w:rsidRPr="003847DA" w:rsidRDefault="00941203" w:rsidP="00941203">
            <w:pPr>
              <w:spacing w:before="120" w:after="120"/>
              <w:jc w:val="both"/>
              <w:rPr>
                <w:b/>
                <w:i/>
              </w:rPr>
            </w:pPr>
            <w:r w:rsidRPr="003847DA">
              <w:rPr>
                <w:b/>
                <w:i/>
              </w:rPr>
              <w:t>Article history:</w:t>
            </w:r>
          </w:p>
          <w:p w14:paraId="1B21A247" w14:textId="19D9C369" w:rsidR="00941203" w:rsidRPr="003847DA" w:rsidRDefault="00941203" w:rsidP="00957C11">
            <w:pPr>
              <w:jc w:val="both"/>
            </w:pPr>
            <w:r w:rsidRPr="003847DA">
              <w:t xml:space="preserve">Received </w:t>
            </w:r>
            <w:r w:rsidR="00523156" w:rsidRPr="003847DA">
              <w:t>m</w:t>
            </w:r>
            <w:r w:rsidR="0001593E" w:rsidRPr="003847DA">
              <w:t>onth</w:t>
            </w:r>
            <w:r w:rsidR="00523156" w:rsidRPr="003847DA">
              <w:t xml:space="preserve"> </w:t>
            </w:r>
            <w:proofErr w:type="spellStart"/>
            <w:r w:rsidR="00523156" w:rsidRPr="003847DA">
              <w:t>dd</w:t>
            </w:r>
            <w:proofErr w:type="spellEnd"/>
            <w:r w:rsidR="00523156" w:rsidRPr="003847DA">
              <w:t xml:space="preserve">, </w:t>
            </w:r>
            <w:proofErr w:type="spellStart"/>
            <w:r w:rsidR="00523156" w:rsidRPr="003847DA">
              <w:t>yyyy</w:t>
            </w:r>
            <w:proofErr w:type="spellEnd"/>
          </w:p>
          <w:p w14:paraId="745B47E5" w14:textId="619F3593" w:rsidR="00941203" w:rsidRPr="003847DA" w:rsidRDefault="00941203" w:rsidP="00957C11">
            <w:pPr>
              <w:jc w:val="both"/>
            </w:pPr>
            <w:r w:rsidRPr="003847DA">
              <w:t xml:space="preserve">Revised </w:t>
            </w:r>
            <w:r w:rsidR="0001593E" w:rsidRPr="003847DA">
              <w:t>month</w:t>
            </w:r>
            <w:r w:rsidR="00523156" w:rsidRPr="003847DA">
              <w:t xml:space="preserve"> </w:t>
            </w:r>
            <w:proofErr w:type="spellStart"/>
            <w:r w:rsidR="00523156" w:rsidRPr="003847DA">
              <w:t>dd</w:t>
            </w:r>
            <w:proofErr w:type="spellEnd"/>
            <w:r w:rsidR="00523156" w:rsidRPr="003847DA">
              <w:t xml:space="preserve">, </w:t>
            </w:r>
            <w:proofErr w:type="spellStart"/>
            <w:r w:rsidR="00523156" w:rsidRPr="003847DA">
              <w:t>yyyy</w:t>
            </w:r>
            <w:proofErr w:type="spellEnd"/>
          </w:p>
          <w:p w14:paraId="6CE20EAE" w14:textId="304E5C2E" w:rsidR="00941203" w:rsidRPr="003847DA" w:rsidRDefault="00941203" w:rsidP="00957C11">
            <w:pPr>
              <w:jc w:val="both"/>
            </w:pPr>
            <w:r w:rsidRPr="003847DA">
              <w:t xml:space="preserve">Accepted </w:t>
            </w:r>
            <w:r w:rsidR="0001593E" w:rsidRPr="003847DA">
              <w:t>month</w:t>
            </w:r>
            <w:r w:rsidR="00523156" w:rsidRPr="003847DA">
              <w:t xml:space="preserve"> </w:t>
            </w:r>
            <w:proofErr w:type="spellStart"/>
            <w:r w:rsidR="00523156" w:rsidRPr="003847DA">
              <w:t>dd</w:t>
            </w:r>
            <w:proofErr w:type="spellEnd"/>
            <w:r w:rsidR="00523156" w:rsidRPr="003847DA">
              <w:t xml:space="preserve">, </w:t>
            </w:r>
            <w:proofErr w:type="spellStart"/>
            <w:r w:rsidR="00523156" w:rsidRPr="003847DA">
              <w:t>yyyy</w:t>
            </w:r>
            <w:proofErr w:type="spellEnd"/>
          </w:p>
          <w:p w14:paraId="375A1808" w14:textId="637BAD13" w:rsidR="00941203" w:rsidRPr="003847DA" w:rsidRDefault="00941203" w:rsidP="00941203">
            <w:pPr>
              <w:jc w:val="both"/>
            </w:pPr>
          </w:p>
        </w:tc>
        <w:tc>
          <w:tcPr>
            <w:tcW w:w="282" w:type="dxa"/>
            <w:vMerge w:val="restart"/>
            <w:tcBorders>
              <w:top w:val="nil"/>
              <w:left w:val="nil"/>
              <w:bottom w:val="nil"/>
              <w:right w:val="nil"/>
            </w:tcBorders>
          </w:tcPr>
          <w:p w14:paraId="1658B743" w14:textId="77777777" w:rsidR="00941203" w:rsidRPr="003847DA" w:rsidRDefault="00941203" w:rsidP="00957C11">
            <w:pPr>
              <w:spacing w:before="120"/>
              <w:jc w:val="both"/>
            </w:pPr>
          </w:p>
        </w:tc>
        <w:tc>
          <w:tcPr>
            <w:tcW w:w="5776" w:type="dxa"/>
            <w:vMerge w:val="restart"/>
            <w:tcBorders>
              <w:top w:val="single" w:sz="4" w:space="0" w:color="auto"/>
              <w:left w:val="nil"/>
              <w:bottom w:val="nil"/>
              <w:right w:val="nil"/>
            </w:tcBorders>
          </w:tcPr>
          <w:p w14:paraId="3611F840" w14:textId="720A9788" w:rsidR="00737C36" w:rsidRDefault="00737C36" w:rsidP="00737C36">
            <w:pPr>
              <w:contextualSpacing/>
              <w:jc w:val="both"/>
              <w:rPr>
                <w:color w:val="000000" w:themeColor="text1"/>
              </w:rPr>
            </w:pPr>
            <w:r w:rsidRPr="00D875FF">
              <w:rPr>
                <w:color w:val="000000" w:themeColor="text1"/>
                <w:highlight w:val="yellow"/>
              </w:rPr>
              <w:t xml:space="preserve">This study explored if significant improvements in knowledge, attitude, and practices among college students </w:t>
            </w:r>
            <w:proofErr w:type="gramStart"/>
            <w:r w:rsidRPr="00D875FF">
              <w:rPr>
                <w:color w:val="000000" w:themeColor="text1"/>
                <w:highlight w:val="yellow"/>
              </w:rPr>
              <w:t>will be observed</w:t>
            </w:r>
            <w:proofErr w:type="gramEnd"/>
            <w:r w:rsidRPr="00D875FF">
              <w:rPr>
                <w:color w:val="000000" w:themeColor="text1"/>
                <w:highlight w:val="yellow"/>
              </w:rPr>
              <w:t xml:space="preserve"> after an online health program on</w:t>
            </w:r>
            <w:r w:rsidRPr="00D875FF">
              <w:rPr>
                <w:b/>
                <w:bCs/>
                <w:highlight w:val="yellow"/>
              </w:rPr>
              <w:t xml:space="preserve"> </w:t>
            </w:r>
            <w:r w:rsidRPr="00D875FF">
              <w:rPr>
                <w:color w:val="000000" w:themeColor="text1"/>
                <w:highlight w:val="yellow"/>
              </w:rPr>
              <w:t xml:space="preserve">COVID-19 </w:t>
            </w:r>
            <w:proofErr w:type="spellStart"/>
            <w:r w:rsidRPr="00D875FF">
              <w:rPr>
                <w:color w:val="000000" w:themeColor="text1"/>
                <w:highlight w:val="yellow"/>
              </w:rPr>
              <w:t>prevention.The</w:t>
            </w:r>
            <w:proofErr w:type="spellEnd"/>
            <w:r w:rsidRPr="00D875FF">
              <w:rPr>
                <w:color w:val="000000" w:themeColor="text1"/>
                <w:highlight w:val="yellow"/>
              </w:rPr>
              <w:t xml:space="preserve"> study reports a quantitative research, utilizing a pre-post study design on 178 college students. The participants received seven sessions of e-health education through Zoom. </w:t>
            </w:r>
            <w:r w:rsidRPr="00D875FF">
              <w:rPr>
                <w:color w:val="000000"/>
                <w:highlight w:val="yellow"/>
              </w:rPr>
              <w:t xml:space="preserve">The adapted and modified questionnaire </w:t>
            </w:r>
            <w:proofErr w:type="gramStart"/>
            <w:r w:rsidRPr="00D875FF">
              <w:rPr>
                <w:color w:val="000000"/>
                <w:highlight w:val="yellow"/>
              </w:rPr>
              <w:t>was developed</w:t>
            </w:r>
            <w:proofErr w:type="gramEnd"/>
            <w:r w:rsidRPr="00D875FF">
              <w:rPr>
                <w:color w:val="000000"/>
                <w:highlight w:val="yellow"/>
              </w:rPr>
              <w:t xml:space="preserve"> from previously published literature regarding viral epidemics, World Health Organization, and guidelines suggested by the Communicable Disease Control and Prevention. </w:t>
            </w:r>
            <w:r w:rsidRPr="00D875FF">
              <w:rPr>
                <w:color w:val="000000" w:themeColor="text1"/>
                <w:highlight w:val="yellow"/>
              </w:rPr>
              <w:t xml:space="preserve">The first phase gathers the relevant profile and background of the participants, and the last phase comprises post-evaluation. </w:t>
            </w:r>
            <w:r w:rsidRPr="00D875FF">
              <w:rPr>
                <w:rFonts w:eastAsiaTheme="minorHAnsi"/>
                <w:highlight w:val="yellow"/>
                <w:lang w:val="en-PH"/>
              </w:rPr>
              <w:t>The data were analyzed using SPSS v.27.</w:t>
            </w:r>
            <w:r w:rsidRPr="00D875FF">
              <w:rPr>
                <w:highlight w:val="yellow"/>
              </w:rPr>
              <w:t xml:space="preserve">The results indicate above-average means for knowledge on </w:t>
            </w:r>
            <w:r w:rsidRPr="00D875FF">
              <w:rPr>
                <w:bCs/>
                <w:highlight w:val="yellow"/>
              </w:rPr>
              <w:t>COVID-19 prevention</w:t>
            </w:r>
            <w:r w:rsidRPr="00D875FF">
              <w:rPr>
                <w:highlight w:val="yellow"/>
              </w:rPr>
              <w:t xml:space="preserve"> in the pretest (17.75</w:t>
            </w:r>
            <w:proofErr w:type="gramStart"/>
            <w:r w:rsidRPr="00D875FF">
              <w:rPr>
                <w:highlight w:val="yellow"/>
              </w:rPr>
              <w:t>,±</w:t>
            </w:r>
            <w:proofErr w:type="gramEnd"/>
            <w:r w:rsidRPr="00D875FF">
              <w:rPr>
                <w:highlight w:val="yellow"/>
              </w:rPr>
              <w:t>2.27) and the posttest (17.60,±2.95). Moreover, the participants were aware of the importance of vaccination, social distancing measures, following health protocols, and the essentiality of compliance with government agencies guidelines. However, the participants were not practicing some of these health measures, as evidenced by the low means in the pretest (1.75, ±0.97) and posttest (1.66</w:t>
            </w:r>
            <w:proofErr w:type="gramStart"/>
            <w:r w:rsidRPr="00D875FF">
              <w:rPr>
                <w:highlight w:val="yellow"/>
              </w:rPr>
              <w:t>,±</w:t>
            </w:r>
            <w:proofErr w:type="gramEnd"/>
            <w:r w:rsidRPr="00D875FF">
              <w:rPr>
                <w:highlight w:val="yellow"/>
              </w:rPr>
              <w:t xml:space="preserve">1.08). All tests for significant differences of pretest and posttest means of knowledge </w:t>
            </w:r>
            <w:r w:rsidRPr="00D875FF">
              <w:rPr>
                <w:color w:val="000000" w:themeColor="text1"/>
                <w:highlight w:val="yellow"/>
              </w:rPr>
              <w:t>(</w:t>
            </w:r>
            <w:r w:rsidRPr="00D875FF">
              <w:rPr>
                <w:highlight w:val="yellow"/>
              </w:rPr>
              <w:t>p=</w:t>
            </w:r>
            <w:r w:rsidRPr="00D875FF">
              <w:rPr>
                <w:color w:val="000000" w:themeColor="text1"/>
                <w:highlight w:val="yellow"/>
              </w:rPr>
              <w:t>0.46), attitude (</w:t>
            </w:r>
            <w:r w:rsidRPr="00D875FF">
              <w:rPr>
                <w:rFonts w:eastAsia="Arial"/>
                <w:color w:val="000000"/>
                <w:highlight w:val="yellow"/>
              </w:rPr>
              <w:t>p=0.12), and practices (</w:t>
            </w:r>
            <w:r w:rsidRPr="00D875FF">
              <w:rPr>
                <w:highlight w:val="yellow"/>
              </w:rPr>
              <w:t>p=</w:t>
            </w:r>
            <w:r w:rsidRPr="00D875FF">
              <w:rPr>
                <w:rFonts w:eastAsia="Arial"/>
                <w:color w:val="000000"/>
                <w:highlight w:val="yellow"/>
              </w:rPr>
              <w:t xml:space="preserve">0.41) on COVID-19 prevention were </w:t>
            </w:r>
            <w:proofErr w:type="gramStart"/>
            <w:r w:rsidRPr="00D875FF">
              <w:rPr>
                <w:rFonts w:eastAsia="Arial"/>
                <w:color w:val="000000"/>
                <w:highlight w:val="yellow"/>
              </w:rPr>
              <w:t>all insignificant</w:t>
            </w:r>
            <w:proofErr w:type="gramEnd"/>
            <w:r w:rsidRPr="00D875FF">
              <w:rPr>
                <w:rFonts w:eastAsia="Arial"/>
                <w:color w:val="000000"/>
                <w:highlight w:val="yellow"/>
              </w:rPr>
              <w:t>.</w:t>
            </w:r>
            <w:r w:rsidRPr="00D875FF">
              <w:rPr>
                <w:highlight w:val="yellow"/>
              </w:rPr>
              <w:t xml:space="preserve"> </w:t>
            </w:r>
            <w:r w:rsidRPr="00D875FF">
              <w:rPr>
                <w:color w:val="000000" w:themeColor="text1"/>
                <w:highlight w:val="yellow"/>
              </w:rPr>
              <w:t>Our study provided evidence that the online health education program improved college students</w:t>
            </w:r>
            <w:r w:rsidR="00DD7DC6">
              <w:rPr>
                <w:color w:val="000000" w:themeColor="text1"/>
                <w:highlight w:val="yellow"/>
              </w:rPr>
              <w:t>'</w:t>
            </w:r>
            <w:r w:rsidRPr="00D875FF">
              <w:rPr>
                <w:color w:val="000000" w:themeColor="text1"/>
                <w:highlight w:val="yellow"/>
              </w:rPr>
              <w:t xml:space="preserve"> knowledge and attitude toward COVID-19 prevention, but they did not adhere to or practice some of the health measures to prevent its transmission.</w:t>
            </w:r>
            <w:r w:rsidRPr="00055571">
              <w:rPr>
                <w:color w:val="000000" w:themeColor="text1"/>
              </w:rPr>
              <w:t xml:space="preserve"> </w:t>
            </w:r>
          </w:p>
          <w:p w14:paraId="647B3C56" w14:textId="5B56143A" w:rsidR="00941203" w:rsidRPr="003847DA" w:rsidRDefault="00941203" w:rsidP="00957C11">
            <w:pPr>
              <w:spacing w:before="120"/>
              <w:jc w:val="both"/>
            </w:pPr>
          </w:p>
        </w:tc>
      </w:tr>
      <w:tr w:rsidR="003847DA" w:rsidRPr="003847DA" w14:paraId="5AB61300" w14:textId="77777777" w:rsidTr="00025339">
        <w:trPr>
          <w:trHeight w:val="1231"/>
          <w:jc w:val="center"/>
        </w:trPr>
        <w:tc>
          <w:tcPr>
            <w:tcW w:w="2787" w:type="dxa"/>
            <w:vMerge w:val="restart"/>
            <w:tcBorders>
              <w:top w:val="single" w:sz="4" w:space="0" w:color="auto"/>
              <w:left w:val="nil"/>
              <w:bottom w:val="single" w:sz="4" w:space="0" w:color="auto"/>
              <w:right w:val="nil"/>
            </w:tcBorders>
          </w:tcPr>
          <w:p w14:paraId="6B62E6D5" w14:textId="0D8BD53C" w:rsidR="00941203" w:rsidRDefault="00941203" w:rsidP="00C60540">
            <w:pPr>
              <w:jc w:val="both"/>
              <w:rPr>
                <w:b/>
                <w:i/>
              </w:rPr>
            </w:pPr>
            <w:r w:rsidRPr="003847DA">
              <w:rPr>
                <w:b/>
                <w:i/>
              </w:rPr>
              <w:t>Keyword</w:t>
            </w:r>
            <w:r w:rsidR="005160A8" w:rsidRPr="003847DA">
              <w:rPr>
                <w:b/>
                <w:i/>
              </w:rPr>
              <w:t>s</w:t>
            </w:r>
            <w:r w:rsidRPr="003847DA">
              <w:rPr>
                <w:b/>
                <w:i/>
              </w:rPr>
              <w:t>:</w:t>
            </w:r>
          </w:p>
          <w:p w14:paraId="5DAE772C" w14:textId="77777777" w:rsidR="00C60540" w:rsidRDefault="00C60540" w:rsidP="00C60540">
            <w:pPr>
              <w:jc w:val="both"/>
              <w:rPr>
                <w:color w:val="000000" w:themeColor="text1"/>
                <w:highlight w:val="yellow"/>
              </w:rPr>
            </w:pPr>
          </w:p>
          <w:p w14:paraId="010919A3" w14:textId="2FB951C5" w:rsidR="00737C36" w:rsidRPr="00C60540" w:rsidRDefault="00C60540" w:rsidP="00C60540">
            <w:pPr>
              <w:jc w:val="both"/>
              <w:rPr>
                <w:color w:val="000000" w:themeColor="text1"/>
                <w:highlight w:val="yellow"/>
              </w:rPr>
            </w:pPr>
            <w:r w:rsidRPr="00C60540">
              <w:rPr>
                <w:color w:val="000000" w:themeColor="text1"/>
                <w:highlight w:val="yellow"/>
              </w:rPr>
              <w:t>College Students</w:t>
            </w:r>
          </w:p>
          <w:p w14:paraId="3F9AEC2B" w14:textId="5D506DCC" w:rsidR="00737C36" w:rsidRPr="00C60540" w:rsidRDefault="00737C36" w:rsidP="00C60540">
            <w:pPr>
              <w:jc w:val="both"/>
              <w:rPr>
                <w:color w:val="000000" w:themeColor="text1"/>
                <w:highlight w:val="yellow"/>
              </w:rPr>
            </w:pPr>
            <w:r w:rsidRPr="00C60540">
              <w:rPr>
                <w:color w:val="000000" w:themeColor="text1"/>
                <w:highlight w:val="yellow"/>
              </w:rPr>
              <w:t>COVID</w:t>
            </w:r>
            <w:r w:rsidR="00C60540" w:rsidRPr="00C60540">
              <w:rPr>
                <w:color w:val="000000" w:themeColor="text1"/>
                <w:highlight w:val="yellow"/>
              </w:rPr>
              <w:t>-19</w:t>
            </w:r>
          </w:p>
          <w:p w14:paraId="6DFE0179" w14:textId="3065799F" w:rsidR="00737C36" w:rsidRPr="00C60540" w:rsidRDefault="00C60540" w:rsidP="00C60540">
            <w:pPr>
              <w:jc w:val="both"/>
              <w:rPr>
                <w:color w:val="000000" w:themeColor="text1"/>
                <w:highlight w:val="yellow"/>
              </w:rPr>
            </w:pPr>
            <w:r w:rsidRPr="00C60540">
              <w:rPr>
                <w:color w:val="000000" w:themeColor="text1"/>
                <w:highlight w:val="yellow"/>
              </w:rPr>
              <w:t>Health Education</w:t>
            </w:r>
          </w:p>
          <w:p w14:paraId="29959497" w14:textId="6FEA0AFF" w:rsidR="00737C36" w:rsidRPr="00C60540" w:rsidRDefault="00C60540" w:rsidP="00C60540">
            <w:pPr>
              <w:jc w:val="both"/>
              <w:rPr>
                <w:color w:val="000000" w:themeColor="text1"/>
                <w:highlight w:val="yellow"/>
              </w:rPr>
            </w:pPr>
            <w:r w:rsidRPr="00C60540">
              <w:rPr>
                <w:color w:val="000000" w:themeColor="text1"/>
                <w:highlight w:val="yellow"/>
              </w:rPr>
              <w:t>Health Prevention</w:t>
            </w:r>
          </w:p>
          <w:p w14:paraId="488028C0" w14:textId="78BC2D9D" w:rsidR="00737C36" w:rsidRPr="003847DA" w:rsidRDefault="00737C36" w:rsidP="00C60540">
            <w:pPr>
              <w:jc w:val="both"/>
              <w:rPr>
                <w:b/>
                <w:i/>
              </w:rPr>
            </w:pPr>
            <w:r w:rsidRPr="00C60540">
              <w:rPr>
                <w:color w:val="000000" w:themeColor="text1"/>
                <w:highlight w:val="yellow"/>
              </w:rPr>
              <w:t>HECAT</w:t>
            </w:r>
          </w:p>
          <w:p w14:paraId="4B416523" w14:textId="7DCD7670" w:rsidR="00941203" w:rsidRPr="003847DA" w:rsidRDefault="00941203" w:rsidP="00941203">
            <w:pPr>
              <w:jc w:val="both"/>
              <w:rPr>
                <w:b/>
                <w:i/>
              </w:rPr>
            </w:pPr>
          </w:p>
        </w:tc>
        <w:tc>
          <w:tcPr>
            <w:tcW w:w="282" w:type="dxa"/>
            <w:vMerge/>
            <w:tcBorders>
              <w:top w:val="nil"/>
              <w:left w:val="nil"/>
              <w:bottom w:val="nil"/>
              <w:right w:val="nil"/>
            </w:tcBorders>
          </w:tcPr>
          <w:p w14:paraId="26D1DFBC" w14:textId="77777777" w:rsidR="00941203" w:rsidRPr="003847DA" w:rsidRDefault="00941203" w:rsidP="00957C11">
            <w:pPr>
              <w:spacing w:before="120"/>
              <w:jc w:val="both"/>
            </w:pPr>
          </w:p>
        </w:tc>
        <w:tc>
          <w:tcPr>
            <w:tcW w:w="5776" w:type="dxa"/>
            <w:vMerge/>
            <w:tcBorders>
              <w:top w:val="nil"/>
              <w:left w:val="nil"/>
              <w:bottom w:val="nil"/>
              <w:right w:val="nil"/>
            </w:tcBorders>
          </w:tcPr>
          <w:p w14:paraId="5C80F7FA" w14:textId="77777777" w:rsidR="00941203" w:rsidRPr="003847DA" w:rsidRDefault="00941203" w:rsidP="00957C11">
            <w:pPr>
              <w:spacing w:before="120"/>
              <w:jc w:val="both"/>
              <w:rPr>
                <w:iCs/>
                <w:sz w:val="18"/>
                <w:szCs w:val="18"/>
              </w:rPr>
            </w:pPr>
          </w:p>
        </w:tc>
      </w:tr>
      <w:tr w:rsidR="003847DA" w:rsidRPr="003847DA" w14:paraId="1578794C" w14:textId="77777777" w:rsidTr="00025339">
        <w:trPr>
          <w:trHeight w:val="70"/>
          <w:jc w:val="center"/>
        </w:trPr>
        <w:tc>
          <w:tcPr>
            <w:tcW w:w="2787" w:type="dxa"/>
            <w:vMerge/>
            <w:tcBorders>
              <w:top w:val="single" w:sz="4" w:space="0" w:color="auto"/>
              <w:left w:val="nil"/>
              <w:bottom w:val="single" w:sz="4" w:space="0" w:color="auto"/>
              <w:right w:val="nil"/>
            </w:tcBorders>
          </w:tcPr>
          <w:p w14:paraId="1603D765" w14:textId="77777777" w:rsidR="00941203" w:rsidRPr="003847DA" w:rsidRDefault="00941203" w:rsidP="00941203">
            <w:pPr>
              <w:spacing w:before="120" w:after="120"/>
              <w:jc w:val="both"/>
              <w:rPr>
                <w:b/>
                <w:i/>
              </w:rPr>
            </w:pPr>
          </w:p>
        </w:tc>
        <w:tc>
          <w:tcPr>
            <w:tcW w:w="282" w:type="dxa"/>
            <w:vMerge/>
            <w:tcBorders>
              <w:top w:val="nil"/>
              <w:left w:val="nil"/>
              <w:bottom w:val="nil"/>
              <w:right w:val="nil"/>
            </w:tcBorders>
          </w:tcPr>
          <w:p w14:paraId="2C6B02DA" w14:textId="77777777" w:rsidR="00941203" w:rsidRPr="003847DA" w:rsidRDefault="00941203" w:rsidP="00957C11">
            <w:pPr>
              <w:spacing w:before="120"/>
              <w:jc w:val="both"/>
            </w:pPr>
          </w:p>
        </w:tc>
        <w:tc>
          <w:tcPr>
            <w:tcW w:w="5776" w:type="dxa"/>
            <w:tcBorders>
              <w:top w:val="nil"/>
              <w:left w:val="nil"/>
              <w:bottom w:val="single" w:sz="4" w:space="0" w:color="auto"/>
              <w:right w:val="nil"/>
            </w:tcBorders>
          </w:tcPr>
          <w:p w14:paraId="205931C6" w14:textId="4E173F45" w:rsidR="001414E2" w:rsidRPr="003847DA" w:rsidRDefault="001414E2" w:rsidP="001414E2">
            <w:pPr>
              <w:spacing w:before="120" w:after="120"/>
              <w:jc w:val="right"/>
              <w:rPr>
                <w:i/>
                <w:iCs/>
                <w:sz w:val="18"/>
                <w:szCs w:val="18"/>
              </w:rPr>
            </w:pPr>
            <w:r w:rsidRPr="003847DA">
              <w:rPr>
                <w:i/>
                <w:iCs/>
                <w:sz w:val="18"/>
                <w:szCs w:val="18"/>
              </w:rPr>
              <w:t xml:space="preserve">This is an open access article under the </w:t>
            </w:r>
            <w:hyperlink r:id="rId8" w:history="1">
              <w:r w:rsidR="00BC5738">
                <w:rPr>
                  <w:rStyle w:val="Hyperlink"/>
                  <w:i/>
                  <w:iCs/>
                  <w:sz w:val="18"/>
                  <w:szCs w:val="18"/>
                </w:rPr>
                <w:t>CC BY-SA</w:t>
              </w:r>
            </w:hyperlink>
            <w:r w:rsidRPr="003847DA">
              <w:rPr>
                <w:i/>
                <w:iCs/>
                <w:sz w:val="18"/>
                <w:szCs w:val="18"/>
              </w:rPr>
              <w:t xml:space="preserve"> license.</w:t>
            </w:r>
          </w:p>
          <w:p w14:paraId="18D744D6" w14:textId="112CAD55" w:rsidR="00941203" w:rsidRPr="003847DA" w:rsidRDefault="001414E2" w:rsidP="001414E2">
            <w:pPr>
              <w:spacing w:before="120" w:after="120"/>
              <w:jc w:val="right"/>
              <w:rPr>
                <w:i/>
                <w:iCs/>
                <w:sz w:val="18"/>
                <w:szCs w:val="18"/>
              </w:rPr>
            </w:pPr>
            <w:r w:rsidRPr="003847DA">
              <w:rPr>
                <w:noProof/>
                <w:lang w:val="en-PH" w:eastAsia="en-PH"/>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3847DA" w14:paraId="294A13ED" w14:textId="77777777" w:rsidTr="00025339">
        <w:trPr>
          <w:jc w:val="center"/>
        </w:trPr>
        <w:tc>
          <w:tcPr>
            <w:tcW w:w="8845" w:type="dxa"/>
            <w:gridSpan w:val="3"/>
            <w:tcBorders>
              <w:top w:val="nil"/>
              <w:left w:val="nil"/>
              <w:bottom w:val="double" w:sz="4" w:space="0" w:color="auto"/>
              <w:right w:val="nil"/>
            </w:tcBorders>
          </w:tcPr>
          <w:p w14:paraId="49D20AE3" w14:textId="524A770D" w:rsidR="007F286F" w:rsidRPr="003847DA" w:rsidRDefault="007F286F" w:rsidP="00941203">
            <w:pPr>
              <w:spacing w:before="120" w:after="120"/>
              <w:rPr>
                <w:b/>
                <w:i/>
              </w:rPr>
            </w:pPr>
            <w:r w:rsidRPr="003847DA">
              <w:rPr>
                <w:b/>
                <w:i/>
              </w:rPr>
              <w:t>Corresponding Author:</w:t>
            </w:r>
          </w:p>
          <w:p w14:paraId="3C411EDF" w14:textId="7027905C" w:rsidR="00941203" w:rsidRPr="003847DA" w:rsidRDefault="00B971E1" w:rsidP="00B971E1">
            <w:pPr>
              <w:rPr>
                <w:sz w:val="18"/>
                <w:szCs w:val="18"/>
              </w:rPr>
            </w:pPr>
            <w:proofErr w:type="spellStart"/>
            <w:r>
              <w:rPr>
                <w:bCs/>
                <w:kern w:val="36"/>
                <w:lang w:val="en-AU" w:eastAsia="en-AU"/>
              </w:rPr>
              <w:t>Resti</w:t>
            </w:r>
            <w:proofErr w:type="spellEnd"/>
            <w:r>
              <w:rPr>
                <w:bCs/>
                <w:kern w:val="36"/>
                <w:lang w:val="en-AU" w:eastAsia="en-AU"/>
              </w:rPr>
              <w:t xml:space="preserve"> Tito </w:t>
            </w:r>
            <w:proofErr w:type="spellStart"/>
            <w:r>
              <w:rPr>
                <w:bCs/>
                <w:kern w:val="36"/>
                <w:lang w:val="en-AU" w:eastAsia="en-AU"/>
              </w:rPr>
              <w:t>Villarino</w:t>
            </w:r>
            <w:proofErr w:type="spellEnd"/>
            <w:r>
              <w:rPr>
                <w:bCs/>
                <w:kern w:val="36"/>
                <w:lang w:val="en-AU" w:eastAsia="en-AU"/>
              </w:rPr>
              <w:t xml:space="preserve">, </w:t>
            </w:r>
            <w:proofErr w:type="spellStart"/>
            <w:r>
              <w:rPr>
                <w:bCs/>
                <w:kern w:val="36"/>
                <w:lang w:val="en-AU" w:eastAsia="en-AU"/>
              </w:rPr>
              <w:t>RN,LPT,Dev.ED</w:t>
            </w:r>
            <w:proofErr w:type="spellEnd"/>
            <w:r w:rsidR="00942626" w:rsidRPr="003847DA">
              <w:br/>
            </w:r>
            <w:r>
              <w:t>Local Research Ethics Committee, Cebu Technological University-</w:t>
            </w:r>
            <w:proofErr w:type="spellStart"/>
            <w:r>
              <w:t>Moalboal</w:t>
            </w:r>
            <w:proofErr w:type="spellEnd"/>
            <w:r>
              <w:t xml:space="preserve"> Campus, Philippines 6032</w:t>
            </w:r>
            <w:r w:rsidR="00942626" w:rsidRPr="003847DA">
              <w:t xml:space="preserve"> </w:t>
            </w:r>
            <w:r w:rsidR="00942626" w:rsidRPr="003847DA">
              <w:br/>
              <w:t xml:space="preserve">Email: </w:t>
            </w:r>
            <w:hyperlink r:id="rId10" w:history="1">
              <w:r w:rsidRPr="00690C48">
                <w:rPr>
                  <w:rStyle w:val="Hyperlink"/>
                </w:rPr>
                <w:t>restitito.villarino@ctu.edu.ph</w:t>
              </w:r>
            </w:hyperlink>
            <w:r>
              <w:t xml:space="preserve"> </w:t>
            </w:r>
          </w:p>
        </w:tc>
      </w:tr>
    </w:tbl>
    <w:p w14:paraId="6D2E917E" w14:textId="1052D043" w:rsidR="00C07BEF" w:rsidRDefault="00C07BEF" w:rsidP="00957C11">
      <w:pPr>
        <w:jc w:val="both"/>
        <w:rPr>
          <w:sz w:val="18"/>
          <w:szCs w:val="18"/>
        </w:rPr>
      </w:pPr>
    </w:p>
    <w:p w14:paraId="29A10634" w14:textId="05BB144F" w:rsidR="00D55C57" w:rsidRDefault="00D55C57" w:rsidP="00D55C57">
      <w:pPr>
        <w:jc w:val="both"/>
        <w:rPr>
          <w:sz w:val="18"/>
          <w:szCs w:val="18"/>
        </w:rPr>
      </w:pPr>
      <w:r>
        <w:rPr>
          <w:b/>
          <w:bCs/>
          <w:iCs/>
        </w:rPr>
        <w:t xml:space="preserve">ABSTRACT </w:t>
      </w:r>
    </w:p>
    <w:p w14:paraId="2177D2F5" w14:textId="790BBEAF" w:rsidR="00D55C57" w:rsidRDefault="00D55C57" w:rsidP="00D55C57">
      <w:pPr>
        <w:jc w:val="both"/>
        <w:rPr>
          <w:color w:val="000000" w:themeColor="text1"/>
        </w:rPr>
      </w:pPr>
      <w:r>
        <w:rPr>
          <w:color w:val="000000" w:themeColor="text1"/>
        </w:rPr>
        <w:t xml:space="preserve">This study explored if significant improvements in knowledge, attitude, and practices among college students </w:t>
      </w:r>
      <w:proofErr w:type="gramStart"/>
      <w:r>
        <w:rPr>
          <w:color w:val="000000" w:themeColor="text1"/>
        </w:rPr>
        <w:t>will be observed</w:t>
      </w:r>
      <w:proofErr w:type="gramEnd"/>
      <w:r>
        <w:rPr>
          <w:color w:val="000000" w:themeColor="text1"/>
        </w:rPr>
        <w:t xml:space="preserve"> after an online health education program on</w:t>
      </w:r>
      <w:r>
        <w:rPr>
          <w:b/>
          <w:bCs/>
        </w:rPr>
        <w:t xml:space="preserve"> </w:t>
      </w:r>
      <w:r>
        <w:rPr>
          <w:color w:val="000000" w:themeColor="text1"/>
        </w:rPr>
        <w:t>COVID-19 prevention.</w:t>
      </w:r>
      <w:r w:rsidR="00445787">
        <w:rPr>
          <w:color w:val="000000" w:themeColor="text1"/>
        </w:rPr>
        <w:t xml:space="preserve"> </w:t>
      </w:r>
      <w:r>
        <w:rPr>
          <w:color w:val="000000" w:themeColor="text1"/>
        </w:rPr>
        <w:t xml:space="preserve">The study reports </w:t>
      </w:r>
      <w:r w:rsidR="00AE286E">
        <w:rPr>
          <w:color w:val="000000" w:themeColor="text1"/>
        </w:rPr>
        <w:t xml:space="preserve">a </w:t>
      </w:r>
      <w:r>
        <w:rPr>
          <w:color w:val="000000" w:themeColor="text1"/>
        </w:rPr>
        <w:t>quantitative research, utilizing a pre-post study design on 178 college students.</w:t>
      </w:r>
      <w:r w:rsidR="006A5048">
        <w:rPr>
          <w:color w:val="000000" w:themeColor="text1"/>
        </w:rPr>
        <w:t xml:space="preserve"> The participants received nine</w:t>
      </w:r>
      <w:r>
        <w:rPr>
          <w:color w:val="000000" w:themeColor="text1"/>
        </w:rPr>
        <w:t xml:space="preserve"> sessions of e-health education </w:t>
      </w:r>
      <w:r w:rsidR="000D438F">
        <w:rPr>
          <w:color w:val="000000" w:themeColor="text1"/>
        </w:rPr>
        <w:t xml:space="preserve">developed using the </w:t>
      </w:r>
      <w:r w:rsidR="000D438F" w:rsidRPr="00BF5B08">
        <w:t>Communicable Disease Control Health Education Curriculum Analysis Tool (HECAT)</w:t>
      </w:r>
      <w:r w:rsidR="000D438F" w:rsidRPr="00BF5B08">
        <w:rPr>
          <w:color w:val="000000" w:themeColor="text1"/>
        </w:rPr>
        <w:t xml:space="preserve"> </w:t>
      </w:r>
      <w:r>
        <w:rPr>
          <w:color w:val="000000" w:themeColor="text1"/>
        </w:rPr>
        <w:t xml:space="preserve">through Zoom video conferencing. </w:t>
      </w:r>
      <w:r>
        <w:rPr>
          <w:color w:val="000000"/>
        </w:rPr>
        <w:t xml:space="preserve">The adapted and modified questionnaire </w:t>
      </w:r>
      <w:proofErr w:type="gramStart"/>
      <w:r>
        <w:rPr>
          <w:color w:val="000000"/>
        </w:rPr>
        <w:t>was developed</w:t>
      </w:r>
      <w:proofErr w:type="gramEnd"/>
      <w:r>
        <w:rPr>
          <w:color w:val="000000"/>
        </w:rPr>
        <w:t xml:space="preserve"> from previously published literature regarding viral epidemics related to MERS-</w:t>
      </w:r>
      <w:proofErr w:type="spellStart"/>
      <w:r>
        <w:rPr>
          <w:color w:val="000000"/>
        </w:rPr>
        <w:t>CoV</w:t>
      </w:r>
      <w:proofErr w:type="spellEnd"/>
      <w:r>
        <w:rPr>
          <w:color w:val="000000"/>
        </w:rPr>
        <w:t xml:space="preserve"> disease, infection prevention</w:t>
      </w:r>
      <w:r w:rsidR="00C90806">
        <w:rPr>
          <w:color w:val="000000"/>
        </w:rPr>
        <w:t>,</w:t>
      </w:r>
      <w:r>
        <w:rPr>
          <w:color w:val="000000"/>
        </w:rPr>
        <w:t xml:space="preserve"> and control measures for COVID-19 by World Health Organization</w:t>
      </w:r>
      <w:r w:rsidR="00A83017">
        <w:rPr>
          <w:color w:val="000000"/>
        </w:rPr>
        <w:t xml:space="preserve"> and the </w:t>
      </w:r>
      <w:r w:rsidR="00A83017" w:rsidRPr="00BF5B08">
        <w:rPr>
          <w:color w:val="000000" w:themeColor="text1"/>
        </w:rPr>
        <w:t>Communicable Disease Control and Prevention guidelines</w:t>
      </w:r>
      <w:r w:rsidR="006A073C">
        <w:rPr>
          <w:color w:val="000000"/>
        </w:rPr>
        <w:t xml:space="preserve">. </w:t>
      </w:r>
      <w:r>
        <w:rPr>
          <w:color w:val="000000" w:themeColor="text1"/>
        </w:rPr>
        <w:t xml:space="preserve">The first phase gathers the relevant profile and background of the participants, and the last phase comprises post-evaluation. </w:t>
      </w:r>
      <w:r>
        <w:rPr>
          <w:rFonts w:eastAsiaTheme="minorHAnsi"/>
          <w:lang w:val="en-PH"/>
        </w:rPr>
        <w:t>The data were analyzed using SPSS v.27.</w:t>
      </w:r>
      <w:r>
        <w:t xml:space="preserve">The results indicate above-average means for knowledge on </w:t>
      </w:r>
      <w:r>
        <w:rPr>
          <w:bCs/>
        </w:rPr>
        <w:t>COVID-19 prevention</w:t>
      </w:r>
      <w:r>
        <w:t xml:space="preserve"> in the pretest (17.75</w:t>
      </w:r>
      <w:proofErr w:type="gramStart"/>
      <w:r>
        <w:t>,±</w:t>
      </w:r>
      <w:proofErr w:type="gramEnd"/>
      <w:r>
        <w:t xml:space="preserve">2.27) and </w:t>
      </w:r>
      <w:r>
        <w:lastRenderedPageBreak/>
        <w:t>the posttest (17.60,±2.95). Moreover, the participants were aware of the importance of vaccination, social distancing measures, following health protocols, and the essentiality of compliance with government agencies</w:t>
      </w:r>
      <w:r w:rsidR="00C90806">
        <w:t>'</w:t>
      </w:r>
      <w:r>
        <w:t xml:space="preserve"> guidelines. However, the participants were not practicing some of these health measures, as evidenced by the low means in the pretest (1.75, ±0.97) and posttest (1.66</w:t>
      </w:r>
      <w:proofErr w:type="gramStart"/>
      <w:r>
        <w:t>,±</w:t>
      </w:r>
      <w:proofErr w:type="gramEnd"/>
      <w:r>
        <w:t xml:space="preserve">1.08). All tests for significant differences of pretest and posttest means of knowledge </w:t>
      </w:r>
      <w:r>
        <w:rPr>
          <w:color w:val="000000" w:themeColor="text1"/>
        </w:rPr>
        <w:t>(</w:t>
      </w:r>
      <w:r w:rsidR="00003437">
        <w:t>p</w:t>
      </w:r>
      <w:r>
        <w:t>=</w:t>
      </w:r>
      <w:r>
        <w:rPr>
          <w:color w:val="000000" w:themeColor="text1"/>
        </w:rPr>
        <w:t>0.46), attitude (</w:t>
      </w:r>
      <w:r w:rsidR="00003437">
        <w:rPr>
          <w:rFonts w:eastAsia="Arial"/>
          <w:color w:val="000000"/>
        </w:rPr>
        <w:t>p</w:t>
      </w:r>
      <w:r>
        <w:rPr>
          <w:rFonts w:eastAsia="Arial"/>
          <w:color w:val="000000"/>
        </w:rPr>
        <w:t>=0.12), and practices (</w:t>
      </w:r>
      <w:r w:rsidR="00003437">
        <w:t>p</w:t>
      </w:r>
      <w:r>
        <w:t>=</w:t>
      </w:r>
      <w:r>
        <w:rPr>
          <w:rFonts w:eastAsia="Arial"/>
          <w:color w:val="000000"/>
        </w:rPr>
        <w:t xml:space="preserve">0.41) on COVID-19 prevention were </w:t>
      </w:r>
      <w:proofErr w:type="gramStart"/>
      <w:r>
        <w:rPr>
          <w:rFonts w:eastAsia="Arial"/>
          <w:color w:val="000000"/>
        </w:rPr>
        <w:t>all insignificant</w:t>
      </w:r>
      <w:proofErr w:type="gramEnd"/>
      <w:r>
        <w:rPr>
          <w:rFonts w:eastAsia="Arial"/>
          <w:color w:val="000000"/>
        </w:rPr>
        <w:t>.</w:t>
      </w:r>
      <w:r>
        <w:t xml:space="preserve"> </w:t>
      </w:r>
      <w:r>
        <w:rPr>
          <w:color w:val="000000" w:themeColor="text1"/>
        </w:rPr>
        <w:t>Our study provided evidence that the online health education program improved college students</w:t>
      </w:r>
      <w:r w:rsidR="00DD7DC6">
        <w:rPr>
          <w:color w:val="000000" w:themeColor="text1"/>
        </w:rPr>
        <w:t>'</w:t>
      </w:r>
      <w:r>
        <w:rPr>
          <w:color w:val="000000" w:themeColor="text1"/>
        </w:rPr>
        <w:t xml:space="preserve"> knowledge and attitude </w:t>
      </w:r>
      <w:r w:rsidR="00C90806">
        <w:rPr>
          <w:color w:val="000000" w:themeColor="text1"/>
        </w:rPr>
        <w:t>toward COVID-19 prevention</w:t>
      </w:r>
      <w:r w:rsidR="00990BCF">
        <w:rPr>
          <w:color w:val="000000" w:themeColor="text1"/>
        </w:rPr>
        <w:t>. S</w:t>
      </w:r>
      <w:r w:rsidR="00C90806">
        <w:rPr>
          <w:color w:val="000000" w:themeColor="text1"/>
        </w:rPr>
        <w:t xml:space="preserve">till, </w:t>
      </w:r>
      <w:r>
        <w:rPr>
          <w:color w:val="000000" w:themeColor="text1"/>
        </w:rPr>
        <w:t xml:space="preserve">they did not adhere to or practice some of the health measures to prevent its transmission. </w:t>
      </w:r>
    </w:p>
    <w:p w14:paraId="0CE4C139" w14:textId="77777777" w:rsidR="00D55C57" w:rsidRDefault="00D55C57" w:rsidP="00D55C57">
      <w:pPr>
        <w:jc w:val="both"/>
        <w:rPr>
          <w:color w:val="000000" w:themeColor="text1"/>
        </w:rPr>
      </w:pPr>
    </w:p>
    <w:p w14:paraId="182C61DD" w14:textId="3CB37008" w:rsidR="00D55C57" w:rsidRDefault="00D55C57" w:rsidP="00F77898">
      <w:pPr>
        <w:spacing w:after="240"/>
        <w:jc w:val="both"/>
        <w:rPr>
          <w:color w:val="000000"/>
        </w:rPr>
        <w:sectPr w:rsidR="00D55C57">
          <w:pgSz w:w="11909" w:h="16834"/>
          <w:pgMar w:top="1440" w:right="1080" w:bottom="1440" w:left="1080" w:header="850" w:footer="850" w:gutter="0"/>
          <w:pgNumType w:start="1"/>
          <w:cols w:space="720"/>
        </w:sectPr>
      </w:pPr>
      <w:r>
        <w:rPr>
          <w:b/>
          <w:color w:val="000000"/>
        </w:rPr>
        <w:t>Keywords:</w:t>
      </w:r>
      <w:r>
        <w:rPr>
          <w:color w:val="000000"/>
        </w:rPr>
        <w:t xml:space="preserve"> </w:t>
      </w:r>
      <w:r>
        <w:rPr>
          <w:color w:val="000000" w:themeColor="text1"/>
        </w:rPr>
        <w:t>college students, COVID-19, health education, health prevention, HECAT</w:t>
      </w:r>
    </w:p>
    <w:p w14:paraId="39B3FF13" w14:textId="7123AEF5" w:rsidR="00055571" w:rsidRPr="003847DA" w:rsidRDefault="00055571" w:rsidP="00957C11">
      <w:pPr>
        <w:jc w:val="both"/>
      </w:pPr>
    </w:p>
    <w:p w14:paraId="2E9083D0" w14:textId="295DCDF6" w:rsidR="00904D6D" w:rsidRPr="002A6277" w:rsidRDefault="00F33C08" w:rsidP="00956EB6">
      <w:pPr>
        <w:numPr>
          <w:ilvl w:val="0"/>
          <w:numId w:val="15"/>
        </w:numPr>
        <w:tabs>
          <w:tab w:val="left" w:pos="426"/>
        </w:tabs>
        <w:ind w:left="426" w:hanging="426"/>
        <w:rPr>
          <w:b/>
          <w:bCs/>
          <w:lang w:val="id-ID"/>
        </w:rPr>
      </w:pPr>
      <w:r w:rsidRPr="003847DA">
        <w:rPr>
          <w:b/>
          <w:bCs/>
          <w:lang w:val="id-ID"/>
        </w:rPr>
        <w:t>INTRODUCTION</w:t>
      </w:r>
      <w:r w:rsidRPr="003847DA">
        <w:rPr>
          <w:b/>
          <w:bCs/>
        </w:rPr>
        <w:t xml:space="preserve"> (10 PT)</w:t>
      </w:r>
    </w:p>
    <w:p w14:paraId="0EB31AC8" w14:textId="77777777" w:rsidR="002A6277" w:rsidRPr="003847DA" w:rsidRDefault="002A6277" w:rsidP="002A6277">
      <w:pPr>
        <w:tabs>
          <w:tab w:val="left" w:pos="426"/>
        </w:tabs>
        <w:ind w:left="426"/>
        <w:rPr>
          <w:b/>
          <w:bCs/>
          <w:lang w:val="id-ID"/>
        </w:rPr>
      </w:pPr>
    </w:p>
    <w:p w14:paraId="17445936" w14:textId="5435D955" w:rsidR="002D0654" w:rsidRPr="00BE5FD0" w:rsidRDefault="002D0654" w:rsidP="004248D7">
      <w:pPr>
        <w:ind w:firstLine="426"/>
        <w:jc w:val="both"/>
      </w:pPr>
      <w:r w:rsidRPr="00BE5FD0">
        <w:t xml:space="preserve">Coronavirus infection 2019 is a unique coronavirus disease caused by Coronavirus 2 and SARS (SARS-CoV-2). </w:t>
      </w:r>
      <w:r w:rsidR="00DD7DC6">
        <w:t xml:space="preserve">Moreover, </w:t>
      </w:r>
      <w:r w:rsidRPr="00BE5FD0">
        <w:t xml:space="preserve">COVID-19 is a distinctive respiratory illness discovered in Wuhan, Hubei Province, China </w:t>
      </w:r>
      <w:r w:rsidRPr="00BE5FD0">
        <w:fldChar w:fldCharType="begin"/>
      </w:r>
      <w:r w:rsidRPr="00BE5FD0">
        <w:instrText xml:space="preserve"> ADDIN ZOTERO_ITEM CSL_CITATION {"citationID":"wKFctXVI","properties":{"formattedCitation":"[1]","plainCitation":"[1]","noteIndex":0},"citationItems":[{"id":3802,"uris":["http://zotero.org/users/9384194/items/I5GI5THA"],"itemData":{"id":3802,"type":"article-journal","abstract":"Background: Saudi Arabia has taken unprecedented and stringent preventive and precautionary measures against COVID-19 to control its spread, safeguard citizens and ensure their well-being. Public adherence to preventive measures is influenced by their knowledge and attitude towards COVID-19. This study investigated the knowledge, attitudes, and practices of the Saudi public, towards COVID-19, during the pandemic. Methods: This is a cross-sectional study, using data collected via an online self-reported questionnaire, from 3388 participants. To assess the differences in mean scores, and identify factors associated with knowledge, attitudes, and practices towards COVID-19, the data were run through univariate and multivariable regression analyses, respectively. Results: The majority of the study participants were knowledgeable about COVID-19. The mean COVID-19 knowledge score was 17.96 (SD = 2.24, range: 3–22), indicating a high level of knowledge. The mean score for attitude was 28.23 (SD = 2.76, range: 6–30), indicating optimistic attitudes. The mean score for practices was 4.34 (SD = 0.87, range: 0–5), indicating good practices. However, the results showed that men have less knowledge, less optimistic attitudes, and less good practice towards COVID-19, than women. We also found that older adults are likely to have better knowledge and practices, than younger people. Conclusions: Our finding suggests that targeted health education interventions should be directed to this particular vulnerable population, who may be at increased risk of contracting COVID-19. For example, COVID-19 knowledge may increase significantly if health education programs are specifically targeted at men.","container-title":"Frontiers in Public Health","DOI":"10.3389/fpubh.2020.00217","ISSN":"2296-2565","journalAbbreviation":"Front. Public Health","language":"English","note":"publisher: Frontiers","source":"Frontiers","title":"Knowledge, Attitude and Practice Toward COVID-19 Among the Public in the Kingdom of Saudi Arabia: A Cross-Sectional Study","title-short":"Knowledge, Attitude and Practice Toward COVID-19 Among the Public in the Kingdom of Saudi Arabia","URL":"https://www.frontiersin.org/articles/10.3389/fpubh.2020.00217/full#B19","volume":"0","author":[{"family":"Al-Hanawi","given":"Mohammed K."},{"family":"Angawi","given":"Khadijah"},{"family":"Alshareef","given":"Noor"},{"family":"Qattan","given":"Ameerah M. N."},{"family":"Helmy","given":"Hoda Z."},{"family":"Abudawood","given":"Yasmin"},{"family":"Alqurashi","given":"Mohammed"},{"family":"Kattan","given":"Waleed M."},{"family":"Kadasah","given":"Nasser Akeil"},{"family":"Chirwa","given":"Gowokani Chijere"},{"family":"Alsharqi","given":"Omar"}],"accessed":{"date-parts":[["2021",8,4]]},"issued":{"date-parts":[["2020"]]}}}],"schema":"https://github.com/citation-style-language/schema/raw/master/csl-citation.json"} </w:instrText>
      </w:r>
      <w:r w:rsidRPr="00BE5FD0">
        <w:fldChar w:fldCharType="separate"/>
      </w:r>
      <w:r w:rsidRPr="00BE5FD0">
        <w:t>[1]</w:t>
      </w:r>
      <w:r w:rsidRPr="00BE5FD0">
        <w:fldChar w:fldCharType="end"/>
      </w:r>
      <w:r w:rsidRPr="00BE5FD0">
        <w:t>, in December 2019. SARS-CoV-2 is a part of a larger family of ribonucleic acid (RNA) viruses that cause a wide range of illnesses, from the common cold to more severe diseases like Middle East Respiratory Syndrome (MERS-</w:t>
      </w:r>
      <w:proofErr w:type="spellStart"/>
      <w:r w:rsidRPr="00BE5FD0">
        <w:t>CoV</w:t>
      </w:r>
      <w:proofErr w:type="spellEnd"/>
      <w:r w:rsidRPr="00BE5FD0">
        <w:t>) and Severe Acute Respiratory Syndrome (SARS-</w:t>
      </w:r>
      <w:proofErr w:type="spellStart"/>
      <w:r w:rsidRPr="00BE5FD0">
        <w:t>CoV</w:t>
      </w:r>
      <w:proofErr w:type="spellEnd"/>
      <w:r w:rsidRPr="00BE5FD0">
        <w:t xml:space="preserve">) </w:t>
      </w:r>
      <w:r w:rsidRPr="00BE5FD0">
        <w:fldChar w:fldCharType="begin"/>
      </w:r>
      <w:r w:rsidRPr="00BE5FD0">
        <w:instrText xml:space="preserve"> ADDIN ZOTERO_ITEM CSL_CITATION {"citationID":"jMlP2KPP","properties":{"formattedCitation":"[2]","plainCitation":"[2]","noteIndex":0},"citationItems":[{"id":3811,"uris":["http://zotero.org/users/9384194/items/3IZ9VLKY"],"itemData":{"id":3811,"type":"article-journal","abstract":"Since December 2019, China has been experiencing a large outbreak of a novel coronavirus (2019-nCoV) which can cause respiratory disease and severe pneumonia. We estimated the basic reproduction number\n              \n                R\n                0\n              \n              of 2019-nCoV to be around 2.2 (90% high density interval: 1.4–3.8), indicating the potential for sustained human-to-human transmission. Transmission characteristics appear to be of similar magnitude to severe acute respiratory syndrome-related coronavirus (SARS-CoV) and pandemic influenza, indicating a risk of global spread.","container-title":"Eurosurveillance","DOI":"10.2807/1560-7917.ES.2020.25.4.2000058","ISSN":"1560-7917","issue":"4","language":"en","source":"DOI.org (Crossref)","title":"Pattern of early human-to-human transmission of Wuhan 2019 novel coronavirus (2019-nCoV), December 2019 to January 2020","URL":"https://www.eurosurveillance.org/content/10.2807/1560-7917.ES.2020.25.4.2000058","volume":"25","author":[{"family":"Riou","given":"Julien"},{"family":"Althaus","given":"Christian L."}],"accessed":{"date-parts":[["2021",8,4]]},"issued":{"date-parts":[["2020",1,30]]}}}],"schema":"https://github.com/citation-style-language/schema/raw/master/csl-citation.json"} </w:instrText>
      </w:r>
      <w:r w:rsidRPr="00BE5FD0">
        <w:fldChar w:fldCharType="separate"/>
      </w:r>
      <w:r w:rsidRPr="00BE5FD0">
        <w:t>[2]</w:t>
      </w:r>
      <w:r w:rsidRPr="00BE5FD0">
        <w:fldChar w:fldCharType="end"/>
      </w:r>
      <w:r w:rsidRPr="00BE5FD0">
        <w:t>. Fever, dry cough, fatigue, myalgia, shortness of breath, and dyspnea</w:t>
      </w:r>
      <w:r w:rsidRPr="00BE5FD0">
        <w:rPr>
          <w:vertAlign w:val="superscript"/>
        </w:rPr>
        <w:t>3</w:t>
      </w:r>
      <w:r w:rsidRPr="00BE5FD0">
        <w:t xml:space="preserve"> are the common symptoms of COVID-19.</w:t>
      </w:r>
    </w:p>
    <w:p w14:paraId="341F2CE8" w14:textId="77777777" w:rsidR="002D0654" w:rsidRPr="00BE5FD0" w:rsidRDefault="002D0654" w:rsidP="002D0654">
      <w:pPr>
        <w:jc w:val="both"/>
      </w:pPr>
    </w:p>
    <w:p w14:paraId="2B0A9447" w14:textId="77777777" w:rsidR="002D0654" w:rsidRPr="00BE5FD0" w:rsidRDefault="002D0654" w:rsidP="004248D7">
      <w:pPr>
        <w:ind w:firstLine="426"/>
        <w:jc w:val="both"/>
      </w:pPr>
      <w:r w:rsidRPr="00BE5FD0">
        <w:t xml:space="preserve">COVID-19 is a highly pathogenic virus that is transmitted through close contact with an infected person </w:t>
      </w:r>
      <w:r w:rsidRPr="00BE5FD0">
        <w:fldChar w:fldCharType="begin"/>
      </w:r>
      <w:r w:rsidRPr="00BE5FD0">
        <w:instrText xml:space="preserve"> ADDIN ZOTERO_ITEM CSL_CITATION {"citationID":"Quv5bjfZ","properties":{"formattedCitation":"[3]","plainCitation":"[3]","noteIndex":0},"citationItems":[{"id":3856,"uris":["http://zotero.org/users/9384194/items/FTPM3SWD"],"itemData":{"id":3856,"type":"webpage","abstract":"Symptoms, testing, what to do if sick, daily activities, and more.","container-title":"Centers for Disease Control and Prevention","language":"en-us","title":"COVID-19 and Your Health","URL":"https://www.cdc.gov/coronavirus/2019-ncov/your-health/about-covid-19/basics-covid-19.html","author":[{"family":"CDC","given":""}],"accessed":{"date-parts":[["2021",8,5]]},"issued":{"date-parts":[["2020",2,11]]}}}],"schema":"https://github.com/citation-style-language/schema/raw/master/csl-citation.json"} </w:instrText>
      </w:r>
      <w:r w:rsidRPr="00BE5FD0">
        <w:fldChar w:fldCharType="separate"/>
      </w:r>
      <w:r w:rsidRPr="00BE5FD0">
        <w:t>[3]</w:t>
      </w:r>
      <w:r w:rsidRPr="00BE5FD0">
        <w:fldChar w:fldCharType="end"/>
      </w:r>
      <w:r w:rsidRPr="00BE5FD0">
        <w:t xml:space="preserve">. The condition's characteristics are constantly developing.  Moreover,  COVID-19 has rapidly spread from Wuhan to other regions of the world, endangering the lives of a substantial number of people </w:t>
      </w:r>
      <w:r w:rsidRPr="00BE5FD0">
        <w:fldChar w:fldCharType="begin"/>
      </w:r>
      <w:r w:rsidRPr="00BE5FD0">
        <w:instrText xml:space="preserve"> ADDIN ZOTERO_ITEM CSL_CITATION {"citationID":"WfjXaTRp","properties":{"formattedCitation":"[4]","plainCitation":"[4]","noteIndex":0},"citationItems":[{"id":135,"uris":["http://zotero.org/users/9384194/items/TA2BWHDT"],"itemData":{"id":135,"type":"article-journal","abstract":"The coronavirus disease (COVID-19) pandemic has impacted the economy, livelihood, and physical and mental well-being of people worldwide. This study aimed to compare the mental health status during the pandemic in the general population of seven middle income countries (MICs) in Asia (China, Iran, Malaysia, Pakistan, Philippines, Thailand, and Vietnam). All the countries used the Impact of Event Scale–Revised (IES-R) and Depression, Anxiety and Stress Scale (DASS-21) to measure mental health. There were 4479 Asians completed the questionnaire with demographic characteristics, physical symptoms and health service utilization, contact history, knowledge and concern, precautionary measure, and rated their mental health with the IES-R and DASS-21. Descriptive statistics, One-Way analysis of variance (ANOVA), and linear regression were used to identify protective and risk factors associated with mental health parameters. There were significant differences in IES-R and DASS-21 scores between 7 MICs (p&lt;0.05). Thailand had all the highest scores of IES-R, DASS-21 stress, anxiety, and depression scores whereas Vietnam had all the lowest scores. The risk factors for adverse mental health during the COVID-19 pandemic include age &lt;30 years, high education background, single and separated status, discrimination by other countries and contact with people with COVID-19 (p&lt;0.05). The protective factors for mental health include male gender, staying with children or more than 6 people in the same household, employment, confidence in doctors, high perceived likelihood of survival, and spending less time on health information (p&lt;0.05). This comparative study among 7 MICs enhanced the understanding of metal health in the general population during the COVID-19 pandemic.","container-title":"PLOS ONE","DOI":"10.1371/journal.pone.0246824","ISSN":"1932-6203","issue":"2","journalAbbreviation":"PLOS ONE","language":"en","note":"publisher: Public Library of Science","page":"e0246824","source":"PLoS Journals","title":"The impact of COVID-19 pandemic on physical and mental health of Asians: A study of seven middle-income countries in Asia","title-short":"The impact of COVID-19 pandemic on physical and mental health of Asians","volume":"16","author":[{"family":"Wang","given":"Cuiyan"},{"family":"Tee","given":"Michael"},{"family":"Roy","given":"Ashley Edward"},{"family":"Fardin","given":"Mohammad A."},{"family":"Srichokchatchawan","given":"Wandee"},{"family":"Habib","given":"Hina A."},{"family":"Tran","given":"Bach X."},{"family":"Hussain","given":"Shahzad"},{"family":"Hoang","given":"Men T."},{"family":"Le","given":"Xuan T."},{"family":"Ma","given":"Wenfang"},{"family":"Pham","given":"Hai Q."},{"family":"Shirazi","given":"Mahmoud"},{"family":"Taneepanichskul","given":"Nutta"},{"family":"Tan","given":"Yilin"},{"family":"Tee","given":"Cherica"},{"family":"Xu","given":"Linkang"},{"family":"Xu","given":"Ziqi"},{"family":"Vu","given":"Giang T."},{"family":"Zhou","given":"Danqing"},{"family":"Koh","given":"Bernard J."},{"family":"McIntyre","given":"Roger S."},{"family":"Ho","given":"Cyrus"},{"family":"Ho","given":"Roger C."},{"family":"Kuruchittham","given":"Vipat"}],"issued":{"date-parts":[["2021",2,11]]}}}],"schema":"https://github.com/citation-style-language/schema/raw/master/csl-citation.json"} </w:instrText>
      </w:r>
      <w:r w:rsidRPr="00BE5FD0">
        <w:fldChar w:fldCharType="separate"/>
      </w:r>
      <w:r w:rsidRPr="00BE5FD0">
        <w:t>[4]</w:t>
      </w:r>
      <w:r w:rsidRPr="00BE5FD0">
        <w:fldChar w:fldCharType="end"/>
      </w:r>
      <w:r w:rsidRPr="00BE5FD0">
        <w:t xml:space="preserve">. By the end of January 2020, the World Health Organization (WHO)  declared a worldwide public health emergency and urged all nations to work together to stop the spread of the disease </w:t>
      </w:r>
      <w:r w:rsidRPr="00BE5FD0">
        <w:fldChar w:fldCharType="begin"/>
      </w:r>
      <w:r w:rsidRPr="00BE5FD0">
        <w:instrText xml:space="preserve"> ADDIN ZOTERO_ITEM CSL_CITATION {"citationID":"sBZwl5EF","properties":{"formattedCitation":"[5]","plainCitation":"[5]","noteIndex":0},"citationItems":[{"id":3886,"uris":["http://zotero.org/users/9384194/items/CCAUBAWF"],"itemData":{"id":3886,"type":"article-journal","abstract":"The outbreak of coronavirus disease 2019 (COVID-19) caused by severe acute respiratory syndrome coronavirus 2 (SARS-CoV-2) has spread to more than 100 countries. Children approved to be susceptible to SARS-CoV-2 infection. Preventing and controlling the epidemic while ensuring orderly flows of pediatric surgery clinical work has proven to be a big challenge for both patients and clinicians during the epidemic. Based on the transmission characteristics of SARS-CoV-2 and the requirements for prevention and control of COVID-19, the authors proposed some concrete measures and practical strategies of managing emergency, limited-term, and elective pediatric surgeries during the epidemic period.","container-title":"World Journal of Pediatric Surgery","DOI":"10.1136/wjps-2020-000122","ISSN":"2516-5410","issue":"1","journalAbbreviation":"World Jnl Ped Surgery","language":"en","page":"e000122","source":"DOI.org (Crossref)","title":"Prevention and control strategies for emergency, limited-term, and elective operations in pediatric surgery during the epidemic period of COVID-19","volume":"3","author":[{"family":"Tang","given":"Daxing"},{"family":"Tou","given":"Jinfa"},{"family":"Wang","given":"Jinhu"},{"family":"Chen","given":"Qingjiang"},{"family":"Wang","given":"Wei"},{"family":"Huang","given":"Jinjin"},{"family":"Zhao","given":"Hangyan"},{"family":"Wei","given":"Jia"},{"family":"Xu","given":"Zheming"},{"family":"Zhao","given":"Dongyan"},{"family":"Fu","given":"Junfen"},{"family":"Shu","given":"Qiang"}],"issued":{"date-parts":[["2020",3]]}}}],"schema":"https://github.com/citation-style-language/schema/raw/master/csl-citation.json"} </w:instrText>
      </w:r>
      <w:r w:rsidRPr="00BE5FD0">
        <w:fldChar w:fldCharType="separate"/>
      </w:r>
      <w:r w:rsidRPr="00BE5FD0">
        <w:t>[5]</w:t>
      </w:r>
      <w:r w:rsidRPr="00BE5FD0">
        <w:fldChar w:fldCharType="end"/>
      </w:r>
      <w:r w:rsidRPr="00BE5FD0">
        <w:t>.</w:t>
      </w:r>
    </w:p>
    <w:p w14:paraId="4FE73305" w14:textId="77777777" w:rsidR="002D0654" w:rsidRPr="00BE5FD0" w:rsidRDefault="002D0654" w:rsidP="002D0654">
      <w:pPr>
        <w:jc w:val="both"/>
      </w:pPr>
    </w:p>
    <w:p w14:paraId="739D2EBD" w14:textId="7FAE0505" w:rsidR="002D0654" w:rsidRPr="00BE5FD0" w:rsidRDefault="002D0654" w:rsidP="004248D7">
      <w:pPr>
        <w:ind w:firstLine="426"/>
        <w:jc w:val="both"/>
      </w:pPr>
      <w:r w:rsidRPr="00BE5FD0">
        <w:t xml:space="preserve">Following the WHO pronouncement, countries worldwide, including the Philippines, have started focusing on pandemic response strategies. Following confirmation of the country's first case of COVID-19, the Philippine government has kept a close eye on the issue and established country-specific measures to combat the outbreak following the World Health Organization and the Communicable Disease Control guidelines. These include suspending all inbound and outbound flights </w:t>
      </w:r>
      <w:r w:rsidR="00DD7DC6">
        <w:t xml:space="preserve">and </w:t>
      </w:r>
      <w:r w:rsidRPr="00BE5FD0">
        <w:t>closing all businesses and schools, except for pharmacies and food stores.</w:t>
      </w:r>
    </w:p>
    <w:p w14:paraId="70170663" w14:textId="77777777" w:rsidR="002D0654" w:rsidRPr="00BE5FD0" w:rsidRDefault="002D0654" w:rsidP="002D0654">
      <w:pPr>
        <w:jc w:val="both"/>
      </w:pPr>
    </w:p>
    <w:p w14:paraId="3E5CFC60" w14:textId="0563C3E5" w:rsidR="002D0654" w:rsidRPr="00BE5FD0" w:rsidRDefault="002D0654" w:rsidP="004248D7">
      <w:pPr>
        <w:ind w:firstLine="426"/>
        <w:jc w:val="both"/>
      </w:pPr>
      <w:r w:rsidRPr="00BE5FD0">
        <w:t xml:space="preserve">Regardless of the national measures used to control the outbreak, its success or failure is primarily based on public behavior </w:t>
      </w:r>
      <w:r w:rsidRPr="00BE5FD0">
        <w:fldChar w:fldCharType="begin"/>
      </w:r>
      <w:r w:rsidRPr="00BE5FD0">
        <w:instrText xml:space="preserve"> ADDIN ZOTERO_ITEM CSL_CITATION {"citationID":"mBLhbL2y","properties":{"formattedCitation":"[6]\\uc0\\u8211{}[8]","plainCitation":"[6]–[8]","noteIndex":0},"citationItems":[{"id":3836,"uris":["http://zotero.org/users/9384194/items/CTJEFPAY"],"itemData":{"id":3836,"type":"report","abstract":"The paper presents the most comprehensive and large-scale study to date on how students perceive the impacts of the COVID-19 crisis on various aspects of their lives on a global level. With a sample of 30,383 students from 62 countries, the study reveals that amid the worldwide lockdown and transition to online learning students were most satisfied with the support provided by teaching staff and their universities&amp;rsquo; public relations. Still, deficient computer skills and the perception of a higher workload prevented them from perceiving their own improved performance in the new teaching environment. Students were mainly concerned about issues to do with their future professional career and studies, and experienced boredom, anxiety and frustration. The pandemic has led to the adoption of particular hygienic behaviours (e.g. wearing masks, washing hands) and discouraged certain daily practices (e.g. leaving home, shaking hands). Students were also more satisfied with the role played by hospitals and universities during the epidemic compared to the government and banks. The findings also show that students with selected socio-demographic characteristics (male, part-time, first level, applied sciences, lower living standard, from Africa or Asia) were generally more strongly affected by the pandemic since they were significantly less satisfied with their academic work/life. Key factors influencing students' satisfaction with the role of their university are also identified. Policymakers and higher education institutions around the world may benefit from these findings while formulating policy recommendations and strategies to support students during this and any future pandemics.","genre":"preprint","note":"DOI: 10.20944/preprints202008.0246.v2","publisher":"SOCIAL SCIENCES","source":"DOI.org (Crossref)","title":"Impacts of the COVID-19 Pandemic on Life of Higher Education Students: A Global Perspective","title-short":"Impacts of the COVID-19 Pandemic on Life of Higher Education Students","URL":"https://www.preprints.org/manuscript/202008.0246/v2","author":[{"family":"Aristovnik","given":"Aleksander"},{"family":"Keržič","given":"Damijana"},{"family":"Ravšelj","given":"Dejan"},{"family":"Tomaževič","given":"Nina"},{"family":"Umek","given":"Lan"}],"accessed":{"date-parts":[["2021",8,5]]},"issued":{"date-parts":[["2020",8,19]]}}},{"id":4319,"uris":["http://zotero.org/users/9384194/items/G2B4V8BT"],"itemData":{"id":4319,"type":"article-journal","container-title":"Frontiers in Psychology","DOI":"10.3389/fpsyg.2020.569935","ISSN":"1664-1078","journalAbbreviation":"Front. Psychol.","page":"569935","source":"DOI.org (Crossref)","title":"Traumatic Stress in Healthcare Workers During COVID-19 Pandemic: A Review of the Immediate Impact","title-short":"Traumatic Stress in Healthcare Workers During COVID-19 Pandemic","volume":"11","author":[{"family":"Benfante","given":"Agata"},{"family":"Di Tella","given":"Marialaura"},{"family":"Romeo","given":"Annunziata"},{"family":"Castelli","given":"Lorys"}],"issued":{"date-parts":[["2020",10,23]]}}},{"id":4690,"uris":["http://zotero.org/users/9384194/items/9IJ3MXD4"],"itemData":{"id":4690,"type":"article-journal","abstract":"OBJECTIVE: To determine the relationship between physical health and well-being among college students in a state university and private college.\nMETHODOLOGY: The study used a quantitative method, utilizing a pretest-posttest study design on 178 college students. The test group received three months of the health and well-being program while the control continued their activities of daily living (ADL). Nutrition, physical activity, and sleep were measured using the adapted Canadian Community Health Survey - Annual Component–2021. Well-being was evaluated using the modified positive emotion, engagement, relationships, meaning, and accomplishments (PERMA) questionnaire. Phase 1 includes gathering the participants' sociodemographic profiles, and the research concludes with the evaluation of the program. SPSS v.27 was used to analyze the data.\nRESULTS: Multiple regression analysis results for engagement (r(176) = .26, p = .92), relationships (r (176) = .21, p = .06), accomplishments (r(176) = .22, p = .31), and the overall PERMA (r(176) = .13, p = .42) were greater than the significance level of 0.05. However, positive emotion (r(176) = .26, p = .006) and meaning (r(176) = .23, p = .02) results were less than the significance level of a=0.05 indicating evidence of significant relationship.\nCONCLUSION: The study has established that positive emotion and meaning are significantly related to physical activity, nutrition, and sleep.","issue":"03","language":"en","page":"7","source":"Zotero","title":"Association between Physical Health and Well-being: A Quasi-experimental Study","volume":"21","author":[{"family":"Villarino","given":"Resti Tito"},{"family":"Villarino","given":"Maureen Lorence"},{"family":"Temblor","given":"Maria Concepcion"},{"family":"Bernard","given":"Prosper"},{"family":"Plaisent","given":"Michel"}],"issued":{"date-parts":[["2022"]]}}}],"schema":"https://github.com/citation-style-language/schema/raw/master/csl-citation.json"} </w:instrText>
      </w:r>
      <w:r w:rsidRPr="00BE5FD0">
        <w:fldChar w:fldCharType="separate"/>
      </w:r>
      <w:r w:rsidRPr="00BE5FD0">
        <w:t>[6]–[8]</w:t>
      </w:r>
      <w:r w:rsidRPr="00BE5FD0">
        <w:fldChar w:fldCharType="end"/>
      </w:r>
      <w:r w:rsidRPr="00BE5FD0">
        <w:t>. To be more precise, universal compliance with preventive measures provided by the government is critical for preventing the development of the disease. Moreover, adherence to health protocols is influenced by public awareness and attitudes toward COVID-19</w:t>
      </w:r>
      <w:r w:rsidRPr="00BE5FD0">
        <w:fldChar w:fldCharType="begin"/>
      </w:r>
      <w:r w:rsidRPr="00BE5FD0">
        <w:instrText xml:space="preserve"> ADDIN ZOTERO_ITEM CSL_CITATION {"citationID":"0S2L1D2d","properties":{"formattedCitation":"[1]","plainCitation":"[1]","noteIndex":0},"citationItems":[{"id":3802,"uris":["http://zotero.org/users/9384194/items/I5GI5THA"],"itemData":{"id":3802,"type":"article-journal","abstract":"Background: Saudi Arabia has taken unprecedented and stringent preventive and precautionary measures against COVID-19 to control its spread, safeguard citizens and ensure their well-being. Public adherence to preventive measures is influenced by their knowledge and attitude towards COVID-19. This study investigated the knowledge, attitudes, and practices of the Saudi public, towards COVID-19, during the pandemic. Methods: This is a cross-sectional study, using data collected via an online self-reported questionnaire, from 3388 participants. To assess the differences in mean scores, and identify factors associated with knowledge, attitudes, and practices towards COVID-19, the data were run through univariate and multivariable regression analyses, respectively. Results: The majority of the study participants were knowledgeable about COVID-19. The mean COVID-19 knowledge score was 17.96 (SD = 2.24, range: 3–22), indicating a high level of knowledge. The mean score for attitude was 28.23 (SD = 2.76, range: 6–30), indicating optimistic attitudes. The mean score for practices was 4.34 (SD = 0.87, range: 0–5), indicating good practices. However, the results showed that men have less knowledge, less optimistic attitudes, and less good practice towards COVID-19, than women. We also found that older adults are likely to have better knowledge and practices, than younger people. Conclusions: Our finding suggests that targeted health education interventions should be directed to this particular vulnerable population, who may be at increased risk of contracting COVID-19. For example, COVID-19 knowledge may increase significantly if health education programs are specifically targeted at men.","container-title":"Frontiers in Public Health","DOI":"10.3389/fpubh.2020.00217","ISSN":"2296-2565","journalAbbreviation":"Front. Public Health","language":"English","note":"publisher: Frontiers","source":"Frontiers","title":"Knowledge, Attitude and Practice Toward COVID-19 Among the Public in the Kingdom of Saudi Arabia: A Cross-Sectional Study","title-short":"Knowledge, Attitude and Practice Toward COVID-19 Among the Public in the Kingdom of Saudi Arabia","URL":"https://www.frontiersin.org/articles/10.3389/fpubh.2020.00217/full#B19","volume":"0","author":[{"family":"Al-Hanawi","given":"Mohammed K."},{"family":"Angawi","given":"Khadijah"},{"family":"Alshareef","given":"Noor"},{"family":"Qattan","given":"Ameerah M. N."},{"family":"Helmy","given":"Hoda Z."},{"family":"Abudawood","given":"Yasmin"},{"family":"Alqurashi","given":"Mohammed"},{"family":"Kattan","given":"Waleed M."},{"family":"Kadasah","given":"Nasser Akeil"},{"family":"Chirwa","given":"Gowokani Chijere"},{"family":"Alsharqi","given":"Omar"}],"accessed":{"date-parts":[["2021",8,4]]},"issued":{"date-parts":[["2020"]]}}}],"schema":"https://github.com/citation-style-language/schema/raw/master/csl-citation.json"} </w:instrText>
      </w:r>
      <w:r w:rsidRPr="00BE5FD0">
        <w:fldChar w:fldCharType="separate"/>
      </w:r>
      <w:r w:rsidRPr="00BE5FD0">
        <w:t>[1]</w:t>
      </w:r>
      <w:r w:rsidRPr="00BE5FD0">
        <w:fldChar w:fldCharType="end"/>
      </w:r>
      <w:r w:rsidRPr="00BE5FD0">
        <w:t xml:space="preserve">. More profound insights </w:t>
      </w:r>
      <w:r w:rsidR="00C471AC">
        <w:t>can be gained into current public perceptions and practices</w:t>
      </w:r>
      <w:r w:rsidRPr="00BE5FD0">
        <w:t xml:space="preserve"> by assessing public awareness and knowledge about the virus and identifying characteristics </w:t>
      </w:r>
      <w:r w:rsidR="00DD7DC6">
        <w:t>influencing</w:t>
      </w:r>
      <w:r w:rsidRPr="00BE5FD0">
        <w:t xml:space="preserve"> the public's adoption of healthy practices and proactive behavior </w:t>
      </w:r>
      <w:r w:rsidRPr="00BE5FD0">
        <w:rPr>
          <w:vertAlign w:val="superscript"/>
        </w:rPr>
        <w:fldChar w:fldCharType="begin"/>
      </w:r>
      <w:r w:rsidRPr="00BE5FD0">
        <w:rPr>
          <w:vertAlign w:val="superscript"/>
        </w:rPr>
        <w:instrText xml:space="preserve"> ADDIN ZOTERO_ITEM CSL_CITATION {"citationID":"3vNYYtVH","properties":{"formattedCitation":"[9]","plainCitation":"[9]","noteIndex":0},"citationItems":[{"id":3889,"uris":["http://zotero.org/users/9384194/items/JUG6M6LD"],"itemData":{"id":3889,"type":"article-journal","container-title":"Indian Journal of Public Health","DOI":"10.4103/ijph.IJPH_321_19","ISSN":"0019-557X","issue":"3","journalAbbreviation":"Indian J Public Health","language":"en","page":"178","source":"DOI.org (Crossref)","title":"Community perception and risk reduction practices toward malaria and dengue: A mixed-method study in slums of Chetla, Kolkata","title-short":"Community perception and risk reduction practices toward malaria and dengue","volume":"63","author":[{"family":"Podder","given":"Debayan"},{"family":"Paul","given":"Bobby"},{"family":"Dasgupta","given":"Aparajita"},{"family":"Bandyopadhyay","given":"Lina"},{"family":"Pal","given":"Arkaprovo"},{"family":"Roy","given":"Soumit"}],"issued":{"date-parts":[["2019"]]}}}],"schema":"https://github.com/citation-style-language/schema/raw/master/csl-citation.json"} </w:instrText>
      </w:r>
      <w:r w:rsidRPr="00BE5FD0">
        <w:rPr>
          <w:vertAlign w:val="superscript"/>
        </w:rPr>
        <w:fldChar w:fldCharType="separate"/>
      </w:r>
      <w:r w:rsidRPr="00BE5FD0">
        <w:t>[9]</w:t>
      </w:r>
      <w:r w:rsidRPr="00BE5FD0">
        <w:rPr>
          <w:vertAlign w:val="superscript"/>
        </w:rPr>
        <w:fldChar w:fldCharType="end"/>
      </w:r>
      <w:r w:rsidRPr="00BE5FD0">
        <w:t xml:space="preserve">. </w:t>
      </w:r>
    </w:p>
    <w:p w14:paraId="104AC4D2" w14:textId="77777777" w:rsidR="002D0654" w:rsidRPr="00BE5FD0" w:rsidRDefault="002D0654" w:rsidP="002D0654">
      <w:pPr>
        <w:jc w:val="both"/>
      </w:pPr>
    </w:p>
    <w:p w14:paraId="1F6D6CE1" w14:textId="0C8DA2D5" w:rsidR="002D0654" w:rsidRPr="00BE5FD0" w:rsidRDefault="00073446" w:rsidP="002D0654">
      <w:pPr>
        <w:tabs>
          <w:tab w:val="left" w:pos="720"/>
        </w:tabs>
        <w:contextualSpacing/>
        <w:jc w:val="both"/>
        <w:rPr>
          <w:bCs/>
        </w:rPr>
      </w:pPr>
      <w:r w:rsidRPr="00BE5FD0">
        <w:rPr>
          <w:bCs/>
        </w:rPr>
        <w:t xml:space="preserve">        </w:t>
      </w:r>
      <w:r w:rsidR="002D0654" w:rsidRPr="00BE5FD0">
        <w:rPr>
          <w:bCs/>
        </w:rPr>
        <w:t xml:space="preserve">Dissemination of knowledge on disease prevention begins with educational institutions. </w:t>
      </w:r>
      <w:r w:rsidR="002D0654" w:rsidRPr="00BE5FD0">
        <w:t>Higher Education Institutions (HEIs)</w:t>
      </w:r>
      <w:r w:rsidR="002D0654" w:rsidRPr="00BE5FD0">
        <w:rPr>
          <w:bCs/>
        </w:rPr>
        <w:t xml:space="preserve"> shifted from face-to-face to online learning modalities so that students can continue their studies despite the pandemic </w:t>
      </w:r>
      <w:r w:rsidR="002D0654" w:rsidRPr="00BE5FD0">
        <w:rPr>
          <w:bCs/>
        </w:rPr>
        <w:fldChar w:fldCharType="begin"/>
      </w:r>
      <w:r w:rsidR="002D0654" w:rsidRPr="00BE5FD0">
        <w:rPr>
          <w:bCs/>
        </w:rPr>
        <w:instrText xml:space="preserve"> ADDIN ZOTERO_ITEM CSL_CITATION {"citationID":"mxK1szsu","properties":{"formattedCitation":"[10]","plainCitation":"[10]","noteIndex":0},"citationItems":[{"id":4393,"uris":["http://zotero.org/users/9384194/items/AS7QWW38"],"itemData":{"id":4393,"type":"article-journal","abstract":"As countries across the globe succumb to COVID-19, students found the new normal stressful. Students are particularly vulnerable to the adverse mental health consequence of strict guidelines such as lockdowns. This study employed a parallel mixed methods research design that aimed to determine the depression, anxiety, and stress levels, and explored the challenges encountered among college students at Saint Dominic College of Batanes, Inc., during the COVID-19 pandemic. The findings served as bases for a wellness program. Survey questionnaires and a semi-structured interview guide were utilized to gather data. Frequency counts, means, percentages, chi-square test, t-test, ANOVA, and thematic analysis were employed to treat the data gathered from 92 students. Results showed moderate depression, severe anxiety, and mild stress among students. A strong significant link between age and depression was also found. Students between the ages of 18 and 22 exhibited moderate to extremely severe levels of depression, while those between the ages of 23 and 40 showed normal and mild levels of depression. In terms of age, depression, anxiety, and stress levels were significantly higher for the younger group than the older group. The challenges encountered by the students include lack of guidance and supervision, poor internet connection, psychological distress, limited access to technology, and teachers’ failure to meet students’ expectations. Results revealed that students cope by social support, managing tasks, changing environment, connecting with a higher being, motivating oneself, seeking advice, and borrowing and renting devices. Hence, proactive efforts are needed to support college students’ mental health.","container-title":"Journal of Positive School Psychology","ISSN":"2717-7564","language":"en","page":"1501-1514","source":"www.journalppw.com","title":"Depression, Anxiety, and Stress among Students in an Island Higher Education Institution amidst the COVID-19 Pandemic","author":[{"family":"Billote","given":"William Jo Se M."},{"family":"Reyes","given":"Cecilia Elena P. Delos"},{"family":"Jr","given":"Rosein A. Ancheta"},{"family":"Capuno","given":"Reylan G."},{"family":"Manguilimotan","given":"Ramil P."},{"family":"Pinili","given":"Lilibeth C."},{"family":"Etcuban","given":"Jonathan O."},{"family":"Igot","given":"Vicente J."},{"family":"Manalastas","given":"Rebecca DC"}],"issued":{"date-parts":[["2022",4,10]]}}}],"schema":"https://github.com/citation-style-language/schema/raw/master/csl-citation.json"} </w:instrText>
      </w:r>
      <w:r w:rsidR="002D0654" w:rsidRPr="00BE5FD0">
        <w:rPr>
          <w:bCs/>
        </w:rPr>
        <w:fldChar w:fldCharType="separate"/>
      </w:r>
      <w:r w:rsidR="002D0654" w:rsidRPr="00BE5FD0">
        <w:t>[10]</w:t>
      </w:r>
      <w:r w:rsidR="002D0654" w:rsidRPr="00BE5FD0">
        <w:rPr>
          <w:bCs/>
        </w:rPr>
        <w:fldChar w:fldCharType="end"/>
      </w:r>
      <w:r w:rsidR="002D0654" w:rsidRPr="00BE5FD0">
        <w:rPr>
          <w:bCs/>
        </w:rPr>
        <w:t xml:space="preserve">. This shift prompted the HEIs to upgrade institutional planning and implement mitigating policies to contain and avoid the spread of the COVID-19 virus </w:t>
      </w:r>
      <w:r w:rsidR="002D0654" w:rsidRPr="00BE5FD0">
        <w:rPr>
          <w:bCs/>
        </w:rPr>
        <w:fldChar w:fldCharType="begin"/>
      </w:r>
      <w:r w:rsidR="002D0654" w:rsidRPr="00BE5FD0">
        <w:rPr>
          <w:bCs/>
        </w:rPr>
        <w:instrText xml:space="preserve"> ADDIN ZOTERO_ITEM CSL_CITATION {"citationID":"QPl5PRC1","properties":{"formattedCitation":"[11]","plainCitation":"[11]","noteIndex":0},"citationItems":[{"id":3622,"uris":["http://zotero.org/users/9384194/items/MVTR5R8U"],"itemData":{"id":3622,"type":"article-journal","container-title":"Psychiatry Research","DOI":"10.1016/j.psychres.2020.112934","ISSN":"01651781","journalAbbreviation":"Psychiatry Research","language":"en","page":"112934","source":"DOI.org (Crossref)","title":"The psychological impact of the COVID-19 epidemic on college students in China","volume":"287","author":[{"family":"Cao","given":"Wenjun"},{"family":"Fang","given":"Ziwei"},{"family":"Hou","given":"Guoqiang"},{"family":"Han","given":"Mei"},{"family":"Xu","given":"Xinrong"},{"family":"Dong","given":"Jiaxin"},{"family":"Zheng","given":"Jianzhong"}],"issued":{"date-parts":[["2020",5]]}}}],"schema":"https://github.com/citation-style-language/schema/raw/master/csl-citation.json"} </w:instrText>
      </w:r>
      <w:r w:rsidR="002D0654" w:rsidRPr="00BE5FD0">
        <w:rPr>
          <w:bCs/>
        </w:rPr>
        <w:fldChar w:fldCharType="separate"/>
      </w:r>
      <w:r w:rsidR="002D0654" w:rsidRPr="00BE5FD0">
        <w:t>[11]</w:t>
      </w:r>
      <w:r w:rsidR="002D0654" w:rsidRPr="00BE5FD0">
        <w:rPr>
          <w:bCs/>
        </w:rPr>
        <w:fldChar w:fldCharType="end"/>
      </w:r>
      <w:r w:rsidR="002D0654" w:rsidRPr="00BE5FD0">
        <w:rPr>
          <w:bCs/>
        </w:rPr>
        <w:t>.</w:t>
      </w:r>
    </w:p>
    <w:p w14:paraId="43F6BD3E" w14:textId="77777777" w:rsidR="002D0654" w:rsidRPr="00BE5FD0" w:rsidRDefault="002D0654" w:rsidP="002D0654">
      <w:pPr>
        <w:jc w:val="both"/>
      </w:pPr>
    </w:p>
    <w:p w14:paraId="6BC6D4A1" w14:textId="0D4A3034" w:rsidR="002D0654" w:rsidRPr="00BE5FD0" w:rsidRDefault="002D0654" w:rsidP="004248D7">
      <w:pPr>
        <w:ind w:firstLine="426"/>
        <w:jc w:val="both"/>
      </w:pPr>
      <w:r w:rsidRPr="00BE5FD0">
        <w:t>Furthermore, limited studies</w:t>
      </w:r>
      <w:r w:rsidRPr="00BE5FD0">
        <w:fldChar w:fldCharType="begin"/>
      </w:r>
      <w:r w:rsidRPr="00BE5FD0">
        <w:instrText xml:space="preserve"> ADDIN ZOTERO_ITEM CSL_CITATION {"citationID":"T6okuHT0","properties":{"formattedCitation":"[6], [7]","plainCitation":"[6], [7]","noteIndex":0},"citationItems":[{"id":3836,"uris":["http://zotero.org/users/9384194/items/CTJEFPAY"],"itemData":{"id":3836,"type":"report","abstract":"The paper presents the most comprehensive and large-scale study to date on how students perceive the impacts of the COVID-19 crisis on various aspects of their lives on a global level. With a sample of 30,383 students from 62 countries, the study reveals that amid the worldwide lockdown and transition to online learning students were most satisfied with the support provided by teaching staff and their universities&amp;rsquo; public relations. Still, deficient computer skills and the perception of a higher workload prevented them from perceiving their own improved performance in the new teaching environment. Students were mainly concerned about issues to do with their future professional career and studies, and experienced boredom, anxiety and frustration. The pandemic has led to the adoption of particular hygienic behaviours (e.g. wearing masks, washing hands) and discouraged certain daily practices (e.g. leaving home, shaking hands). Students were also more satisfied with the role played by hospitals and universities during the epidemic compared to the government and banks. The findings also show that students with selected socio-demographic characteristics (male, part-time, first level, applied sciences, lower living standard, from Africa or Asia) were generally more strongly affected by the pandemic since they were significantly less satisfied with their academic work/life. Key factors influencing students' satisfaction with the role of their university are also identified. Policymakers and higher education institutions around the world may benefit from these findings while formulating policy recommendations and strategies to support students during this and any future pandemics.","genre":"preprint","note":"DOI: 10.20944/preprints202008.0246.v2","publisher":"SOCIAL SCIENCES","source":"DOI.org (Crossref)","title":"Impacts of the COVID-19 Pandemic on Life of Higher Education Students: A Global Perspective","title-short":"Impacts of the COVID-19 Pandemic on Life of Higher Education Students","URL":"https://www.preprints.org/manuscript/202008.0246/v2","author":[{"family":"Aristovnik","given":"Aleksander"},{"family":"Keržič","given":"Damijana"},{"family":"Ravšelj","given":"Dejan"},{"family":"Tomaževič","given":"Nina"},{"family":"Umek","given":"Lan"}],"accessed":{"date-parts":[["2021",8,5]]},"issued":{"date-parts":[["2020",8,19]]}}},{"id":4319,"uris":["http://zotero.org/users/9384194/items/G2B4V8BT"],"itemData":{"id":4319,"type":"article-journal","container-title":"Frontiers in Psychology","DOI":"10.3389/fpsyg.2020.569935","ISSN":"1664-1078","journalAbbreviation":"Front. Psychol.","page":"569935","source":"DOI.org (Crossref)","title":"Traumatic Stress in Healthcare Workers During COVID-19 Pandemic: A Review of the Immediate Impact","title-short":"Traumatic Stress in Healthcare Workers During COVID-19 Pandemic","volume":"11","author":[{"family":"Benfante","given":"Agata"},{"family":"Di Tella","given":"Marialaura"},{"family":"Romeo","given":"Annunziata"},{"family":"Castelli","given":"Lorys"}],"issued":{"date-parts":[["2020",10,23]]}}}],"schema":"https://github.com/citation-style-language/schema/raw/master/csl-citation.json"} </w:instrText>
      </w:r>
      <w:r w:rsidRPr="00BE5FD0">
        <w:fldChar w:fldCharType="separate"/>
      </w:r>
      <w:r w:rsidRPr="00BE5FD0">
        <w:t>[6], [7]</w:t>
      </w:r>
      <w:r w:rsidRPr="00BE5FD0">
        <w:fldChar w:fldCharType="end"/>
      </w:r>
      <w:r w:rsidRPr="00BE5FD0">
        <w:t xml:space="preserve"> were conducted on developing online health education programs to prevent COVID-19 infection among college students, thus furthering the need for evidence-based literature to support governmental policymakers. Health education programs may also increase individuals' knowledge of public health interventions, raise awareness, and improve health practices regarding the COVID-19 outbreak </w:t>
      </w:r>
      <w:r w:rsidRPr="00BE5FD0">
        <w:fldChar w:fldCharType="begin"/>
      </w:r>
      <w:r w:rsidR="00731D97">
        <w:instrText xml:space="preserve"> ADDIN ZOTERO_ITEM CSL_CITATION {"citationID":"nMWEZM1x","properties":{"formattedCitation":"[1], [12]\\uc0\\u8211{}[14]","plainCitation":"[1], [12]–[14]","noteIndex":0},"citationItems":[{"id":3802,"uris":["http://zotero.org/users/9384194/items/I5GI5THA"],"itemData":{"id":3802,"type":"article-journal","abstract":"Background: Saudi Arabia has taken unprecedented and stringent preventive and precautionary measures against COVID-19 to control its spread, safeguard citizens and ensure their well-being. Public adherence to preventive measures is influenced by their knowledge and attitude towards COVID-19. This study investigated the knowledge, attitudes, and practices of the Saudi public, towards COVID-19, during the pandemic. Methods: This is a cross-sectional study, using data collected via an online self-reported questionnaire, from 3388 participants. To assess the differences in mean scores, and identify factors associated with knowledge, attitudes, and practices towards COVID-19, the data were run through univariate and multivariable regression analyses, respectively. Results: The majority of the study participants were knowledgeable about COVID-19. The mean COVID-19 knowledge score was 17.96 (SD = 2.24, range: 3–22), indicating a high level of knowledge. The mean score for attitude was 28.23 (SD = 2.76, range: 6–30), indicating optimistic attitudes. The mean score for practices was 4.34 (SD = 0.87, range: 0–5), indicating good practices. However, the results showed that men have less knowledge, less optimistic attitudes, and less good practice towards COVID-19, than women. We also found that older adults are likely to have better knowledge and practices, than younger people. Conclusions: Our finding suggests that targeted health education interventions should be directed to this particular vulnerable population, who may be at increased risk of contracting COVID-19. For example, COVID-19 knowledge may increase significantly if health education programs are specifically targeted at men.","container-title":"Frontiers in Public Health","DOI":"10.3389/fpubh.2020.00217","ISSN":"2296-2565","journalAbbreviation":"Front. Public Health","language":"English","note":"publisher: Frontiers","source":"Frontiers","title":"Knowledge, Attitude and Practice Toward COVID-19 Among the Public in the Kingdom of Saudi Arabia: A Cross-Sectional Study","title-short":"Knowledge, Attitude and Practice Toward COVID-19 Among the Public in the Kingdom of Saudi Arabia","URL":"https://www.frontiersin.org/articles/10.3389/fpubh.2020.00217/full#B19","volume":"0","author":[{"family":"Al-Hanawi","given":"Mohammed K."},{"family":"Angawi","given":"Khadijah"},{"family":"Alshareef","given":"Noor"},{"family":"Qattan","given":"Ameerah M. N."},{"family":"Helmy","given":"Hoda Z."},{"family":"Abudawood","given":"Yasmin"},{"family":"Alqurashi","given":"Mohammed"},{"family":"Kattan","given":"Waleed M."},{"family":"Kadasah","given":"Nasser Akeil"},{"family":"Chirwa","given":"Gowokani Chijere"},{"family":"Alsharqi","given":"Omar"}],"accessed":{"date-parts":[["2021",8,4]]},"issued":{"date-parts":[["2020"]]}}},{"id":3796,"uris":["http://zotero.org/users/9384194/items/4SHUREIL"],"itemData":{"id":3796,"type":"book","abstract":"Health and Well-being Program for College Students equips students with essential skills and information to navigate the stressors and emotional challenges associated with college life. The program helps learners practice self-care strategies, recognize when they or their peers are in distress, and take action to find additional support. \n\nThis project is under the NRCP STEP Small R&amp;D Grant, aligned with Kapakanan ng Tao sa Oras ng Pandemya – COVID (KTOP-COVID) and is considered a joint research initiative between Cebu Technological University - Moalboal Campus, NRCP and DOST VI. Moreover, this is a part of our shared mission to promote student safety, emotional health and wellness.\n\nThe aims of the health and well-being program are to 1) provide students with a community and an opportunity to feel connected with other students, 2) introduce students to fundamental concepts of health and well-being, including the promotion of mental health, 3) equip the students with tools that would help improve their health and well-being.","ISBN":"9798541664102","source":"ResearchGate","title":"Health and Well-being Program for College Students","author":[{"family":"Villarino","given":"Resti Tito"}],"issued":{"date-parts":[["2020",11,20]]}}},{"id":4691,"uris":["http://zotero.org/users/9384194/items/CVCMEW87"],"itemData":{"id":4691,"type":"webpage","title":"Climate change: the next game changer for sport and exercise psychology | SpringerLink","URL":"https://link.springer.com/article/10.1007/s12662-022-00819-w","author":[{"family":"Bernard et al.","given":""}],"accessed":{"date-parts":[["2022",11,14]]},"issued":{"date-parts":[["2022"]]}}},{"id":5006,"uris":["http://zotero.org/users/9384194/items/655SYVAA"],"itemData":{"id":5006,"type":"article-journal","abstract":"Awareness, education, readiness, predictive, and warning systems can help communities mitigate the disruptive effects of a natural disaster such as a typhoon. Typhoon mitigation plays an essential role in disaster risk management because it provides accurate and relevant knowledge and skills before, during, and after typhoon procedures. The article summarized a novel, evidence-based approach to developing an online typhoon mitigation program. The program is based on the adapted and contextualized from the Community Disaster Preparedness Handbook by the Department of Disaster Management (Virgin Islands), Weather Underground (owned by the Weather Company, a subsidiary of IBM), the Tropical Cyclone and Typhoon Action Plan by the Liberty Specialty Markets, and the Philippines’ National Risk Reduction and Management Plan for 2011-2028 guidelines. It discusses future directions in the fitness-for-purpose process evaluation, assessment, and documentation.","container-title":"Academic Platform Journal of Natural Hazards and Disaster Management","DOI":"10.52114/apjhad.1187249","ISSN":"2717-8714","journalAbbreviation":"APJHAD","language":"en","source":"DOI.org (Crossref)","title":"Designing an online typhoon mitigation program","URL":"https://dergipark.org.tr/en/doi/10.52114/apjhad.1187249","author":[{"family":"Villarino","given":"Resti Tito"},{"family":"Vi̇llarino","given":"Maureen Lorence"}],"accessed":{"date-parts":[["2023",1,11]]},"issued":{"date-parts":[["2022",12,6]]}}}],"schema":"https://github.com/citation-style-language/schema/raw/master/csl-citation.json"} </w:instrText>
      </w:r>
      <w:r w:rsidRPr="00BE5FD0">
        <w:fldChar w:fldCharType="separate"/>
      </w:r>
      <w:r w:rsidR="00731D97" w:rsidRPr="00731D97">
        <w:rPr>
          <w:szCs w:val="24"/>
        </w:rPr>
        <w:t>[1], [12]–[14]</w:t>
      </w:r>
      <w:r w:rsidRPr="00BE5FD0">
        <w:fldChar w:fldCharType="end"/>
      </w:r>
      <w:r w:rsidRPr="00BE5FD0">
        <w:t xml:space="preserve">. Additionally, it is critical to assess college students' knowledge, attitude, and practices in COVID-19 prevention to identify gaps and strengthen ongoing mitigation efforts by Higher Education Institutions </w:t>
      </w:r>
      <w:r w:rsidRPr="00BE5FD0">
        <w:fldChar w:fldCharType="begin"/>
      </w:r>
      <w:r w:rsidR="00731D97">
        <w:instrText xml:space="preserve"> ADDIN ZOTERO_ITEM CSL_CITATION {"citationID":"BmSuqUgC","properties":{"formattedCitation":"[6], [15]","plainCitation":"[6], [15]","noteIndex":0},"citationItems":[{"id":3836,"uris":["http://zotero.org/users/9384194/items/CTJEFPAY"],"itemData":{"id":3836,"type":"report","abstract":"The paper presents the most comprehensive and large-scale study to date on how students perceive the impacts of the COVID-19 crisis on various aspects of their lives on a global level. With a sample of 30,383 students from 62 countries, the study reveals that amid the worldwide lockdown and transition to online learning students were most satisfied with the support provided by teaching staff and their universities&amp;rsquo; public relations. Still, deficient computer skills and the perception of a higher workload prevented them from perceiving their own improved performance in the new teaching environment. Students were mainly concerned about issues to do with their future professional career and studies, and experienced boredom, anxiety and frustration. The pandemic has led to the adoption of particular hygienic behaviours (e.g. wearing masks, washing hands) and discouraged certain daily practices (e.g. leaving home, shaking hands). Students were also more satisfied with the role played by hospitals and universities during the epidemic compared to the government and banks. The findings also show that students with selected socio-demographic characteristics (male, part-time, first level, applied sciences, lower living standard, from Africa or Asia) were generally more strongly affected by the pandemic since they were significantly less satisfied with their academic work/life. Key factors influencing students' satisfaction with the role of their university are also identified. Policymakers and higher education institutions around the world may benefit from these findings while formulating policy recommendations and strategies to support students during this and any future pandemics.","genre":"preprint","note":"DOI: 10.20944/preprints202008.0246.v2","publisher":"SOCIAL SCIENCES","source":"DOI.org (Crossref)","title":"Impacts of the COVID-19 Pandemic on Life of Higher Education Students: A Global Perspective","title-short":"Impacts of the COVID-19 Pandemic on Life of Higher Education Students","URL":"https://www.preprints.org/manuscript/202008.0246/v2","author":[{"family":"Aristovnik","given":"Aleksander"},{"family":"Keržič","given":"Damijana"},{"family":"Ravšelj","given":"Dejan"},{"family":"Tomaževič","given":"Nina"},{"family":"Umek","given":"Lan"}],"accessed":{"date-parts":[["2021",8,5]]},"issued":{"date-parts":[["2020",8,19]]}}},{"id":4444,"uris":["http://zotero.org/users/9384194/items/LNSZQEMG"],"itemData":{"id":4444,"type":"article-journal","abstract":"Introduction: The global COVID-19 pandemic has aggravated challenges involving college students’ mental health and well-being. Some literature suggested developing online programs to address the pandemic’s impact on college students’ mental health and well-being. Thus, this study assessed if significant improvement in well-being among college students can be observed after introducing an online well-being program.Methods: The study utilized a quantitative methodology, mainly using a two-group pretest-posttest design on 178 college students in a private college and state university. The experimental group received 3 months of the well-being program while the control resumed their activities of daily living (ADL). The modified positive emotion, engagement, relationship, meaning, and accomplishment (PERMA) profiler questionnaire was the primary evaluation instrument that measured the participants’ well-being. The first phase gathered the participants’ relevant profile and background, and the last phase concluded with the evaluation of the program. Data were analyzed using SPSS v.21.Results: Based on the post-evaluation PERMA scores, the experimental participants (M = 7.21, SD 1.70) did not differ much from the control (M = 7.07, SD = 1.55) according to a t-test t(176) = –1.07, p = 0.57 as computed using a two-sample independent t-test at a significance level of α = 0.05. The overall PERMA score description is normal functioning. The Pearson correlation of the experimental group’s pre-test and post-test scores (r(91) = 0.01, p = 0.904) and the control (r(83) = 0.04, p = 0.732) group did not indicate an evidence of a significant relationship.Conclusion: The results do not provide evidence of a significant difference and relationship between the experimental participants’ pre-test and post-test PERMA scores after the online well-being program.","container-title":"Journal of Health Sciences","DOI":"10.17532/jhsci.2022.1631","ISSN":"1986-8049, 2232-7576","journalAbbreviation":"JHSCI","source":"DOI.org (Crossref)","title":"Evaluating an online well-being program for college students during the COVID-19 pandemic","URL":"https://www.jhsci.ba/ojs/index.php/jhsci/article/view/1631","author":[{"family":"Villarino","given":"Resti Tito H."},{"family":"Villarino","given":"Maureen Lorence F."},{"family":"Temblor","given":"Maria Concepcion L."},{"family":"Chabit","given":"Nilde T."},{"family":"Arcay","given":"Christopher Asuncion L."},{"family":"Gimena","given":"Grace B."},{"family":"Bernard","given":"Prosper"},{"family":"Plaisent","given":"Michel"}],"accessed":{"date-parts":[["2022",4,21]]},"issued":{"date-parts":[["2022",4,19]]}}}],"schema":"https://github.com/citation-style-language/schema/raw/master/csl-citation.json"} </w:instrText>
      </w:r>
      <w:r w:rsidRPr="00BE5FD0">
        <w:fldChar w:fldCharType="separate"/>
      </w:r>
      <w:r w:rsidR="00731D97" w:rsidRPr="00731D97">
        <w:t>[6], [15]</w:t>
      </w:r>
      <w:r w:rsidRPr="00BE5FD0">
        <w:fldChar w:fldCharType="end"/>
      </w:r>
      <w:r w:rsidRPr="00BE5FD0">
        <w:t xml:space="preserve">. In this connection, </w:t>
      </w:r>
      <w:r w:rsidRPr="00BE5FD0">
        <w:rPr>
          <w:color w:val="000000" w:themeColor="text1"/>
        </w:rPr>
        <w:t xml:space="preserve">this study explored if significant improvements in knowledge, attitude, and practices among college students </w:t>
      </w:r>
      <w:proofErr w:type="gramStart"/>
      <w:r w:rsidRPr="00BE5FD0">
        <w:rPr>
          <w:color w:val="000000" w:themeColor="text1"/>
        </w:rPr>
        <w:t>will be observed</w:t>
      </w:r>
      <w:proofErr w:type="gramEnd"/>
      <w:r w:rsidRPr="00BE5FD0">
        <w:rPr>
          <w:color w:val="000000" w:themeColor="text1"/>
        </w:rPr>
        <w:t xml:space="preserve"> after an online health education program on</w:t>
      </w:r>
      <w:r w:rsidRPr="00BE5FD0">
        <w:rPr>
          <w:b/>
          <w:bCs/>
        </w:rPr>
        <w:t xml:space="preserve"> </w:t>
      </w:r>
      <w:r w:rsidRPr="00BE5FD0">
        <w:rPr>
          <w:color w:val="000000" w:themeColor="text1"/>
        </w:rPr>
        <w:t>COVID-19 prevention.</w:t>
      </w:r>
      <w:r w:rsidRPr="00BE5FD0">
        <w:t xml:space="preserve"> </w:t>
      </w:r>
    </w:p>
    <w:p w14:paraId="343C4CAB" w14:textId="77777777" w:rsidR="002C4131" w:rsidRPr="00BE5FD0" w:rsidRDefault="002C4131" w:rsidP="004D3838">
      <w:pPr>
        <w:ind w:firstLine="720"/>
        <w:jc w:val="both"/>
      </w:pPr>
    </w:p>
    <w:p w14:paraId="6D0BF8E6" w14:textId="77777777" w:rsidR="00E619D6" w:rsidRPr="00BE5FD0" w:rsidRDefault="00E619D6" w:rsidP="00E619D6">
      <w:pPr>
        <w:jc w:val="both"/>
      </w:pPr>
    </w:p>
    <w:p w14:paraId="7F5871EF" w14:textId="34E46237" w:rsidR="00E619D6" w:rsidRPr="00BE5FD0" w:rsidRDefault="00E619D6" w:rsidP="00E619D6">
      <w:pPr>
        <w:numPr>
          <w:ilvl w:val="0"/>
          <w:numId w:val="15"/>
        </w:numPr>
        <w:tabs>
          <w:tab w:val="left" w:pos="426"/>
        </w:tabs>
        <w:ind w:left="426" w:hanging="426"/>
        <w:rPr>
          <w:b/>
          <w:bCs/>
          <w:lang w:val="id-ID"/>
        </w:rPr>
      </w:pPr>
      <w:r w:rsidRPr="00BE5FD0">
        <w:rPr>
          <w:b/>
          <w:bCs/>
          <w:lang w:val="id-ID"/>
        </w:rPr>
        <w:t>METHOD</w:t>
      </w:r>
      <w:r w:rsidRPr="00BE5FD0">
        <w:rPr>
          <w:b/>
          <w:bCs/>
        </w:rPr>
        <w:t xml:space="preserve"> (10 PT)</w:t>
      </w:r>
    </w:p>
    <w:p w14:paraId="6ECE290F" w14:textId="6EEE6EA5" w:rsidR="00BF5B08" w:rsidRPr="00BE5FD0" w:rsidRDefault="000D7023" w:rsidP="00073446">
      <w:pPr>
        <w:pBdr>
          <w:top w:val="nil"/>
          <w:left w:val="nil"/>
          <w:bottom w:val="nil"/>
          <w:right w:val="nil"/>
          <w:between w:val="nil"/>
        </w:pBdr>
        <w:jc w:val="both"/>
        <w:rPr>
          <w:b/>
          <w:color w:val="000000"/>
        </w:rPr>
      </w:pPr>
      <w:r w:rsidRPr="00BE5FD0">
        <w:rPr>
          <w:b/>
          <w:bCs/>
        </w:rPr>
        <w:t xml:space="preserve">2.1 </w:t>
      </w:r>
      <w:r w:rsidR="00BF5B08" w:rsidRPr="00BE5FD0">
        <w:rPr>
          <w:b/>
          <w:bCs/>
        </w:rPr>
        <w:t>Study Design</w:t>
      </w:r>
    </w:p>
    <w:p w14:paraId="760A234D" w14:textId="7C2F8B6B" w:rsidR="00BF5B08" w:rsidRPr="00BF5B08" w:rsidRDefault="00BF5B08" w:rsidP="00073446">
      <w:pPr>
        <w:pStyle w:val="02bJKIArticleTitleabsract"/>
        <w:ind w:firstLine="360"/>
        <w:rPr>
          <w:b w:val="0"/>
        </w:rPr>
      </w:pPr>
      <w:r w:rsidRPr="00BE5FD0">
        <w:rPr>
          <w:b w:val="0"/>
        </w:rPr>
        <w:t xml:space="preserve">This study utilized </w:t>
      </w:r>
      <w:r w:rsidR="000E3E5D">
        <w:rPr>
          <w:b w:val="0"/>
        </w:rPr>
        <w:t>the</w:t>
      </w:r>
      <w:r w:rsidRPr="00BE5FD0">
        <w:rPr>
          <w:b w:val="0"/>
        </w:rPr>
        <w:t xml:space="preserve"> </w:t>
      </w:r>
      <w:r w:rsidRPr="00BE5FD0">
        <w:rPr>
          <w:b w:val="0"/>
          <w:shd w:val="clear" w:color="auto" w:fill="FFFFFF"/>
        </w:rPr>
        <w:t xml:space="preserve">pretest-posttest design. </w:t>
      </w:r>
      <w:r w:rsidRPr="00BE5FD0">
        <w:rPr>
          <w:b w:val="0"/>
        </w:rPr>
        <w:t xml:space="preserve">Data on the participants' socio-demographic profile in terms of age, sex, and socio-economic level </w:t>
      </w:r>
      <w:proofErr w:type="gramStart"/>
      <w:r w:rsidRPr="00BE5FD0">
        <w:rPr>
          <w:b w:val="0"/>
        </w:rPr>
        <w:t>were gathered</w:t>
      </w:r>
      <w:proofErr w:type="gramEnd"/>
      <w:r w:rsidRPr="00BE5FD0">
        <w:rPr>
          <w:b w:val="0"/>
        </w:rPr>
        <w:t xml:space="preserve"> before the program started. Knowledge, attitude, and</w:t>
      </w:r>
      <w:r w:rsidRPr="00BF5B08">
        <w:rPr>
          <w:b w:val="0"/>
        </w:rPr>
        <w:t xml:space="preserve"> practices </w:t>
      </w:r>
      <w:r w:rsidRPr="00BF5B08">
        <w:rPr>
          <w:b w:val="0"/>
          <w:bCs/>
        </w:rPr>
        <w:t>on COVID-19 prevention</w:t>
      </w:r>
      <w:r w:rsidRPr="00BF5B08">
        <w:rPr>
          <w:b w:val="0"/>
        </w:rPr>
        <w:t xml:space="preserve"> </w:t>
      </w:r>
      <w:proofErr w:type="gramStart"/>
      <w:r w:rsidRPr="00BF5B08">
        <w:rPr>
          <w:b w:val="0"/>
        </w:rPr>
        <w:t>were collected</w:t>
      </w:r>
      <w:proofErr w:type="gramEnd"/>
      <w:r w:rsidRPr="00BF5B08">
        <w:rPr>
          <w:b w:val="0"/>
        </w:rPr>
        <w:t xml:space="preserve"> before and after the health education program.</w:t>
      </w:r>
    </w:p>
    <w:p w14:paraId="7DF92EBD" w14:textId="77777777" w:rsidR="00BF5B08" w:rsidRPr="00BF5B08" w:rsidRDefault="00BF5B08" w:rsidP="00BF5B08">
      <w:pPr>
        <w:ind w:left="360"/>
        <w:jc w:val="both"/>
        <w:rPr>
          <w:color w:val="000000"/>
        </w:rPr>
      </w:pPr>
    </w:p>
    <w:p w14:paraId="5B830CE8" w14:textId="38F34004" w:rsidR="00BF5B08" w:rsidRPr="00BF5B08" w:rsidRDefault="000D7023" w:rsidP="00073446">
      <w:pPr>
        <w:jc w:val="both"/>
        <w:rPr>
          <w:b/>
          <w:color w:val="222222"/>
        </w:rPr>
      </w:pPr>
      <w:r>
        <w:rPr>
          <w:b/>
          <w:color w:val="222222"/>
        </w:rPr>
        <w:t xml:space="preserve">2.2 </w:t>
      </w:r>
      <w:r w:rsidR="00BF5B08" w:rsidRPr="00BF5B08">
        <w:rPr>
          <w:b/>
          <w:color w:val="222222"/>
        </w:rPr>
        <w:t>Participants, Inclusion, and Exclusion Criteria</w:t>
      </w:r>
    </w:p>
    <w:p w14:paraId="4D93110C" w14:textId="77777777" w:rsidR="00BF5B08" w:rsidRPr="00BF5B08" w:rsidRDefault="00BF5B08" w:rsidP="00073446">
      <w:pPr>
        <w:ind w:firstLine="360"/>
        <w:jc w:val="both"/>
      </w:pPr>
      <w:r w:rsidRPr="00BF5B08">
        <w:rPr>
          <w:color w:val="000000"/>
        </w:rPr>
        <w:t xml:space="preserve">The participants were college students enrolled in a state university and private college for the second semester of the academic year 2020 –2021. The stringent health and governmental protocols implemented by </w:t>
      </w:r>
      <w:r w:rsidRPr="00BF5B08">
        <w:rPr>
          <w:color w:val="000000"/>
        </w:rPr>
        <w:lastRenderedPageBreak/>
        <w:t>the Inter-Agency Task Force (IATF) during the study were one of the major challenges in selecting participant institutions. To address this issue, we decided to choose our affiliated institutions to be the locale of the study to ensure a secure and efficient way of</w:t>
      </w:r>
      <w:r w:rsidRPr="00BF5B08">
        <w:t xml:space="preserve"> </w:t>
      </w:r>
      <w:r w:rsidRPr="00BF5B08">
        <w:rPr>
          <w:color w:val="000000"/>
        </w:rPr>
        <w:t>implementing the health education program in a Virtual Learning Environment (VLE).</w:t>
      </w:r>
    </w:p>
    <w:p w14:paraId="1E01E15D" w14:textId="77777777" w:rsidR="00BF5B08" w:rsidRPr="00BF5B08" w:rsidRDefault="00BF5B08" w:rsidP="00BF5B08">
      <w:pPr>
        <w:ind w:left="360"/>
        <w:jc w:val="both"/>
        <w:rPr>
          <w:color w:val="000000"/>
        </w:rPr>
      </w:pPr>
    </w:p>
    <w:p w14:paraId="492F64C2" w14:textId="2EF8DF64" w:rsidR="00BF5B08" w:rsidRPr="00BF5B08" w:rsidRDefault="00BF5B08" w:rsidP="0028159F">
      <w:pPr>
        <w:ind w:firstLine="360"/>
        <w:jc w:val="both"/>
        <w:rPr>
          <w:color w:val="222222"/>
        </w:rPr>
      </w:pPr>
      <w:r w:rsidRPr="00BF5B08">
        <w:rPr>
          <w:color w:val="222222"/>
        </w:rPr>
        <w:t>Moreover, we chose first-year to third-year students because they were easier to reach than the fourth-year students who were completing their OJT (on-the-job training) at the time of the study. Exclusion criteria further include self-reported conditions such as high blood pressure, diabetes mellitus, or a history of diagn</w:t>
      </w:r>
      <w:r w:rsidR="00292C25">
        <w:rPr>
          <w:color w:val="222222"/>
        </w:rPr>
        <w:t>o</w:t>
      </w:r>
      <w:r w:rsidRPr="00BF5B08">
        <w:rPr>
          <w:color w:val="222222"/>
        </w:rPr>
        <w:t>sed mental health or behavioral issues, as well as students who did not attend at least two sessions and refused to continue participating in the research.</w:t>
      </w:r>
    </w:p>
    <w:p w14:paraId="3A393441" w14:textId="77777777" w:rsidR="00BF5B08" w:rsidRPr="00BF5B08" w:rsidRDefault="00BF5B08" w:rsidP="00BF5B08">
      <w:pPr>
        <w:ind w:left="360"/>
        <w:jc w:val="both"/>
        <w:rPr>
          <w:color w:val="222222"/>
        </w:rPr>
      </w:pPr>
    </w:p>
    <w:p w14:paraId="3F9669EB" w14:textId="1EA2CD9F" w:rsidR="00BF5B08" w:rsidRPr="00BF5B08" w:rsidRDefault="000D7023" w:rsidP="0028159F">
      <w:pPr>
        <w:jc w:val="both"/>
        <w:rPr>
          <w:b/>
          <w:color w:val="000000"/>
        </w:rPr>
      </w:pPr>
      <w:r>
        <w:rPr>
          <w:b/>
          <w:color w:val="222222"/>
        </w:rPr>
        <w:t xml:space="preserve">2.3 </w:t>
      </w:r>
      <w:r w:rsidR="00BF5B08" w:rsidRPr="00BF5B08">
        <w:rPr>
          <w:b/>
          <w:color w:val="222222"/>
        </w:rPr>
        <w:t>Study Period, Recruitment,</w:t>
      </w:r>
      <w:r w:rsidR="00BF5B08" w:rsidRPr="00BF5B08">
        <w:rPr>
          <w:b/>
          <w:color w:val="000000"/>
        </w:rPr>
        <w:t xml:space="preserve"> and Sampling Method</w:t>
      </w:r>
    </w:p>
    <w:p w14:paraId="086A4114" w14:textId="7006DF6E" w:rsidR="00BF5B08" w:rsidRPr="00BF5B08" w:rsidRDefault="00BF5B08" w:rsidP="0028159F">
      <w:pPr>
        <w:ind w:firstLine="360"/>
        <w:jc w:val="both"/>
        <w:rPr>
          <w:color w:val="000000"/>
        </w:rPr>
      </w:pPr>
      <w:r w:rsidRPr="00BF5B08">
        <w:rPr>
          <w:color w:val="000000"/>
        </w:rPr>
        <w:t xml:space="preserve">The study </w:t>
      </w:r>
      <w:proofErr w:type="gramStart"/>
      <w:r w:rsidRPr="00BF5B08">
        <w:rPr>
          <w:color w:val="000000"/>
        </w:rPr>
        <w:t>was conducted</w:t>
      </w:r>
      <w:proofErr w:type="gramEnd"/>
      <w:r w:rsidRPr="00BF5B08">
        <w:rPr>
          <w:color w:val="000000"/>
        </w:rPr>
        <w:t xml:space="preserve"> for three months, from May 2021 to July 2021. To recruit participants, we sent a letter of invitation to the Student Affairs Office and the Student Council of the state university and the private college. For three weeks, while waiting for the students' responses to participate, we also advertised on Facebook through our Facebook Page: </w:t>
      </w:r>
      <w:proofErr w:type="spellStart"/>
      <w:r w:rsidRPr="00BF5B08">
        <w:rPr>
          <w:color w:val="000000"/>
        </w:rPr>
        <w:t>Amoma</w:t>
      </w:r>
      <w:proofErr w:type="spellEnd"/>
      <w:r w:rsidRPr="00BF5B08">
        <w:rPr>
          <w:color w:val="000000"/>
        </w:rPr>
        <w:t xml:space="preserve"> Project. After three weeks, 600 participants responded to the invitation and </w:t>
      </w:r>
      <w:proofErr w:type="gramStart"/>
      <w:r w:rsidRPr="00BF5B08">
        <w:rPr>
          <w:color w:val="000000"/>
        </w:rPr>
        <w:t>were assessed</w:t>
      </w:r>
      <w:proofErr w:type="gramEnd"/>
      <w:r w:rsidRPr="00BF5B08">
        <w:rPr>
          <w:color w:val="000000"/>
        </w:rPr>
        <w:t xml:space="preserve"> for eligibility. However, 470 were excluded due to not meeting inclusion criteria (i.e., On-the-Job Training, physical and mental health concerns, taking prescribed medications), and 290 declined to continue participating in the study, with </w:t>
      </w:r>
      <w:proofErr w:type="gramStart"/>
      <w:r w:rsidRPr="00BF5B08">
        <w:rPr>
          <w:color w:val="000000"/>
        </w:rPr>
        <w:t>a total of 130</w:t>
      </w:r>
      <w:proofErr w:type="gramEnd"/>
      <w:r w:rsidRPr="00BF5B08">
        <w:rPr>
          <w:color w:val="000000"/>
        </w:rPr>
        <w:t xml:space="preserve"> participants. </w:t>
      </w:r>
      <w:proofErr w:type="gramStart"/>
      <w:r w:rsidRPr="00BF5B08">
        <w:rPr>
          <w:color w:val="000000"/>
        </w:rPr>
        <w:t>But</w:t>
      </w:r>
      <w:proofErr w:type="gramEnd"/>
      <w:r w:rsidRPr="00BF5B08">
        <w:rPr>
          <w:color w:val="000000"/>
        </w:rPr>
        <w:t xml:space="preserve"> after one week, 48 students voluntarily participated and met the inclusion criteria, thus reaching the total sample size of 178. </w:t>
      </w:r>
    </w:p>
    <w:p w14:paraId="6F4F5489" w14:textId="77777777" w:rsidR="00BF5B08" w:rsidRPr="00BF5B08" w:rsidRDefault="00BF5B08" w:rsidP="00BF5B08">
      <w:pPr>
        <w:ind w:left="360"/>
        <w:jc w:val="both"/>
        <w:rPr>
          <w:color w:val="000000"/>
        </w:rPr>
      </w:pPr>
    </w:p>
    <w:p w14:paraId="516AF56B" w14:textId="45B8A050" w:rsidR="00BF5B08" w:rsidRPr="00BF5B08" w:rsidRDefault="000D7023" w:rsidP="0028159F">
      <w:pPr>
        <w:autoSpaceDE w:val="0"/>
        <w:autoSpaceDN w:val="0"/>
        <w:adjustRightInd w:val="0"/>
        <w:jc w:val="both"/>
        <w:rPr>
          <w:b/>
          <w:iCs/>
          <w:color w:val="000000" w:themeColor="text1"/>
        </w:rPr>
      </w:pPr>
      <w:r>
        <w:rPr>
          <w:b/>
          <w:iCs/>
          <w:color w:val="000000" w:themeColor="text1"/>
        </w:rPr>
        <w:t xml:space="preserve">2.4 </w:t>
      </w:r>
      <w:r w:rsidR="00BF5B08" w:rsidRPr="00BF5B08">
        <w:rPr>
          <w:b/>
          <w:iCs/>
          <w:color w:val="000000" w:themeColor="text1"/>
        </w:rPr>
        <w:t>Ethical Consideration</w:t>
      </w:r>
    </w:p>
    <w:p w14:paraId="0F55E836" w14:textId="77777777" w:rsidR="00BF5B08" w:rsidRPr="00BF5B08" w:rsidRDefault="00BF5B08" w:rsidP="0028159F">
      <w:pPr>
        <w:ind w:firstLine="360"/>
        <w:jc w:val="both"/>
        <w:rPr>
          <w:color w:val="000000" w:themeColor="text1"/>
          <w:shd w:val="clear" w:color="auto" w:fill="FFFFFF"/>
        </w:rPr>
      </w:pPr>
      <w:r w:rsidRPr="00BF5B08">
        <w:rPr>
          <w:color w:val="000000" w:themeColor="text1"/>
        </w:rPr>
        <w:t>The University Research Ethics Committee (UREC) of Cebu Technological University granted ethical approval to the data collecting procedures, informed consent forms, and data collection instruments with UREC Protocol Number: 001-2021.</w:t>
      </w:r>
      <w:r w:rsidRPr="00BF5B08">
        <w:rPr>
          <w:color w:val="000000" w:themeColor="text1"/>
          <w:shd w:val="clear" w:color="auto" w:fill="FFFFFF"/>
        </w:rPr>
        <w:t xml:space="preserve"> </w:t>
      </w:r>
      <w:r w:rsidRPr="00BF5B08">
        <w:rPr>
          <w:color w:val="000000" w:themeColor="text1"/>
        </w:rPr>
        <w:t>The participants received a certificate of participation after the duration of the study.</w:t>
      </w:r>
    </w:p>
    <w:p w14:paraId="6DBA0707" w14:textId="77777777" w:rsidR="00BF5B08" w:rsidRPr="00BF5B08" w:rsidRDefault="00BF5B08" w:rsidP="00BF5B08">
      <w:pPr>
        <w:pStyle w:val="text-indent"/>
        <w:spacing w:after="0" w:line="240" w:lineRule="auto"/>
        <w:ind w:left="360"/>
        <w:contextualSpacing/>
        <w:rPr>
          <w:rFonts w:eastAsiaTheme="majorEastAsia"/>
          <w:b/>
          <w:color w:val="000000" w:themeColor="text1"/>
          <w:sz w:val="20"/>
          <w:szCs w:val="20"/>
          <w:lang w:eastAsia="en-PH"/>
        </w:rPr>
      </w:pPr>
    </w:p>
    <w:p w14:paraId="14AC8637" w14:textId="4EBB64CF" w:rsidR="00BF5B08" w:rsidRPr="00BF5B08" w:rsidRDefault="000D7023" w:rsidP="0028159F">
      <w:pPr>
        <w:pStyle w:val="text-indent"/>
        <w:spacing w:after="0" w:line="240" w:lineRule="auto"/>
        <w:contextualSpacing/>
        <w:rPr>
          <w:b/>
          <w:bCs/>
          <w:color w:val="000000"/>
          <w:sz w:val="20"/>
          <w:szCs w:val="20"/>
        </w:rPr>
      </w:pPr>
      <w:r>
        <w:rPr>
          <w:b/>
          <w:bCs/>
          <w:color w:val="000000"/>
          <w:sz w:val="20"/>
          <w:szCs w:val="20"/>
        </w:rPr>
        <w:t xml:space="preserve">2.5 </w:t>
      </w:r>
      <w:r w:rsidR="00BF5B08" w:rsidRPr="00BF5B08">
        <w:rPr>
          <w:b/>
          <w:bCs/>
          <w:color w:val="000000"/>
          <w:sz w:val="20"/>
          <w:szCs w:val="20"/>
        </w:rPr>
        <w:t>Instrument</w:t>
      </w:r>
    </w:p>
    <w:p w14:paraId="39A5AA65" w14:textId="77777777" w:rsidR="00BF5B08" w:rsidRPr="00BF5B08" w:rsidRDefault="00BF5B08" w:rsidP="00D227AD">
      <w:pPr>
        <w:ind w:firstLine="360"/>
        <w:jc w:val="both"/>
        <w:rPr>
          <w:color w:val="000000"/>
        </w:rPr>
      </w:pPr>
      <w:r w:rsidRPr="00BF5B08">
        <w:rPr>
          <w:color w:val="000000"/>
        </w:rPr>
        <w:t xml:space="preserve">Thirty-three questions </w:t>
      </w:r>
      <w:proofErr w:type="gramStart"/>
      <w:r w:rsidRPr="00BF5B08">
        <w:rPr>
          <w:color w:val="000000"/>
        </w:rPr>
        <w:t>were created</w:t>
      </w:r>
      <w:proofErr w:type="gramEnd"/>
      <w:r w:rsidRPr="00BF5B08">
        <w:rPr>
          <w:color w:val="000000"/>
        </w:rPr>
        <w:t xml:space="preserve"> to examine participants' knowledge, attitudes, and practices (22 for knowledge, 6 for attitude, and 5 for practices). The survey questions </w:t>
      </w:r>
      <w:proofErr w:type="gramStart"/>
      <w:r w:rsidRPr="00BF5B08">
        <w:rPr>
          <w:color w:val="000000"/>
        </w:rPr>
        <w:t>were designed and updated</w:t>
      </w:r>
      <w:proofErr w:type="gramEnd"/>
      <w:r w:rsidRPr="00BF5B08">
        <w:rPr>
          <w:color w:val="000000"/>
        </w:rPr>
        <w:t xml:space="preserve"> based on previously published research on MERS-</w:t>
      </w:r>
      <w:proofErr w:type="spellStart"/>
      <w:r w:rsidRPr="00BF5B08">
        <w:rPr>
          <w:color w:val="000000"/>
        </w:rPr>
        <w:t>CoV</w:t>
      </w:r>
      <w:proofErr w:type="spellEnd"/>
      <w:r w:rsidRPr="00BF5B08">
        <w:rPr>
          <w:color w:val="000000"/>
        </w:rPr>
        <w:t xml:space="preserve"> virus outbreaks, World Health Organization infection prevention and control strategies for COVID-19, and the Centers for Disease Control and Prevention guidelines.</w:t>
      </w:r>
    </w:p>
    <w:p w14:paraId="2386CA4C" w14:textId="77777777" w:rsidR="00BF5B08" w:rsidRPr="00BF5B08" w:rsidRDefault="00BF5B08" w:rsidP="00BF5B08">
      <w:pPr>
        <w:ind w:left="360"/>
        <w:jc w:val="both"/>
        <w:rPr>
          <w:color w:val="000000"/>
        </w:rPr>
      </w:pPr>
    </w:p>
    <w:p w14:paraId="050B84C7" w14:textId="5960630D" w:rsidR="00BF5B08" w:rsidRPr="00BF5B08" w:rsidRDefault="00BF5B08" w:rsidP="00D227AD">
      <w:pPr>
        <w:ind w:firstLine="360"/>
        <w:jc w:val="both"/>
      </w:pPr>
      <w:r w:rsidRPr="00BF5B08">
        <w:t xml:space="preserve">After finishing the initial draft of the survey questionnaire, we sent the questionnaire to three experts (two internal medicine specialists and a university professor) for face validation. After consulting with the experts and reaching a consensus, the final questionnaire was developed and pilot-tested by thirty </w:t>
      </w:r>
      <w:r w:rsidRPr="00BF5B08">
        <w:rPr>
          <w:color w:val="000000" w:themeColor="text1"/>
        </w:rPr>
        <w:t xml:space="preserve">fourth-year </w:t>
      </w:r>
      <w:proofErr w:type="gramStart"/>
      <w:r w:rsidRPr="00BF5B08">
        <w:rPr>
          <w:color w:val="000000" w:themeColor="text1"/>
        </w:rPr>
        <w:t>college</w:t>
      </w:r>
      <w:proofErr w:type="gramEnd"/>
      <w:r w:rsidRPr="00BF5B08">
        <w:rPr>
          <w:color w:val="000000" w:themeColor="text1"/>
        </w:rPr>
        <w:t xml:space="preserve"> students currently enrolled in a research subject under the lead researcher. </w:t>
      </w:r>
      <w:r w:rsidRPr="00BF5B08">
        <w:t xml:space="preserve">The pilot study data were loaded into SPSS v.27 to investigate reliability coefficients. In our study, Cronbach's alpha coefficients for knowledge, attitude, and practice were 0.60, 0.43, and 0.74, respectively, and for KAP questions, it was 0.73, showing an adequate level of internal consistency </w:t>
      </w:r>
      <w:r w:rsidRPr="00BF5B08">
        <w:fldChar w:fldCharType="begin"/>
      </w:r>
      <w:r w:rsidR="00731D97">
        <w:instrText xml:space="preserve"> ADDIN ZOTERO_ITEM CSL_CITATION {"citationID":"SiLtxCup","properties":{"formattedCitation":"[16], [17]","plainCitation":"[16], [17]","noteIndex":0},"citationItems":[{"id":3854,"uris":["http://zotero.org/users/9384194/items/TNZLFXYJ"],"itemData":{"id":3854,"type":"article-journal","container-title":"PLOS ONE","DOI":"10.1371/journal.pone.0239254","ISSN":"1932-6203","issue":"10","journalAbbreviation":"PLoS ONE","language":"en","page":"e0239254","source":"DOI.org (Crossref)","title":"Knowledge, attitude, and practice regarding COVID-19 outbreak in Bangladesh: An online-based cross-sectional study","title-short":"Knowledge, attitude, and practice regarding COVID-19 outbreak in Bangladesh","volume":"15","author":[{"family":"Ferdous","given":"Most. Zannatul"},{"family":"Islam","given":"Md. Saiful"},{"family":"Sikder","given":"Md. Tajuddin"},{"family":"Mosaddek","given":"Abu Syed Md."},{"family":"Zegarra-Valdivia","given":"J. A."},{"family":"Gozal","given":"David"}],"editor":[{"family":"Gańczak","given":"Maria"}],"issued":{"date-parts":[["2020",10,9]]}}},{"id":3792,"uris":["http://zotero.org/users/9384194/items/YGPH9FIZ"],"itemData":{"id":3792,"type":"book","abstract":"This book is a relatively straightforward guide to academic publishing's fundamental knowledge. It begins with what academic publishing is, the value of scholarly publications, the fundamentals of writing a scientific paper, and a scientific article's anatomy. It includes the use of Google Scholar to find a seminal article. It offers ways to improve your manuscript and finding the best target journals. It provides a guide on preparing the manuscript and supporting documents necessary for submission. The book also includes responding to peer review. Last but not least, the issue of plagiarism and publishing ethics.","ISBN":"9798589578034","language":"English","number-of-pages":"93","publisher":"Independently published","source":"Amazon","title":"FUNDAMENTALS OF ACADEMIC PUBLISHING: A Handbook in Writing a Scientific Paper for Publication","title-short":"FUNDAMENTALS OF ACADEMIC PUBLISHING","author":[{"family":"Villarino","given":"Resti Tito H."}],"issued":{"date-parts":[["2021",1,2]]}}}],"schema":"https://github.com/citation-style-language/schema/raw/master/csl-citation.json"} </w:instrText>
      </w:r>
      <w:r w:rsidRPr="00BF5B08">
        <w:fldChar w:fldCharType="separate"/>
      </w:r>
      <w:r w:rsidR="00731D97" w:rsidRPr="00731D97">
        <w:t>[16], [17]</w:t>
      </w:r>
      <w:r w:rsidRPr="00BF5B08">
        <w:fldChar w:fldCharType="end"/>
      </w:r>
      <w:r w:rsidRPr="00BF5B08">
        <w:t xml:space="preserve">. </w:t>
      </w:r>
    </w:p>
    <w:p w14:paraId="25F17E7E" w14:textId="77777777" w:rsidR="00BF5B08" w:rsidRPr="00BF5B08" w:rsidRDefault="00BF5B08" w:rsidP="00BF5B08">
      <w:pPr>
        <w:ind w:left="360"/>
        <w:jc w:val="both"/>
      </w:pPr>
    </w:p>
    <w:p w14:paraId="3C8E6417" w14:textId="77777777" w:rsidR="00BF5B08" w:rsidRPr="00BF5B08" w:rsidRDefault="00BF5B08" w:rsidP="00D227AD">
      <w:pPr>
        <w:ind w:firstLine="360"/>
        <w:jc w:val="both"/>
      </w:pPr>
      <w:r w:rsidRPr="00BF5B08">
        <w:t xml:space="preserve">Moreover, the instrument undergone forward and backward translation. An expert in Cebuano, a native dialect in the Philippines, translated the English version of the scales into Cebuano and then back into English. The </w:t>
      </w:r>
      <w:proofErr w:type="gramStart"/>
      <w:r w:rsidRPr="00BF5B08">
        <w:t>translations were finalized by the bilingual expert and two university professors</w:t>
      </w:r>
      <w:proofErr w:type="gramEnd"/>
      <w:r w:rsidRPr="00BF5B08">
        <w:t xml:space="preserve">. The questionnaire </w:t>
      </w:r>
      <w:proofErr w:type="gramStart"/>
      <w:r w:rsidRPr="00BF5B08">
        <w:t>was modified</w:t>
      </w:r>
      <w:proofErr w:type="gramEnd"/>
      <w:r w:rsidRPr="00BF5B08">
        <w:t xml:space="preserve"> based on feedback derived from the students.</w:t>
      </w:r>
    </w:p>
    <w:p w14:paraId="3DA2A8A9" w14:textId="77777777" w:rsidR="00BF5B08" w:rsidRPr="00BF5B08" w:rsidRDefault="00BF5B08" w:rsidP="00BF5B08">
      <w:pPr>
        <w:ind w:left="360"/>
        <w:jc w:val="both"/>
      </w:pPr>
    </w:p>
    <w:p w14:paraId="242D4139" w14:textId="147E7885" w:rsidR="00BF5B08" w:rsidRPr="00BF5B08" w:rsidRDefault="00BF5B08" w:rsidP="00D227AD">
      <w:pPr>
        <w:pStyle w:val="Default"/>
        <w:ind w:firstLine="360"/>
        <w:jc w:val="both"/>
        <w:rPr>
          <w:rFonts w:cs="Times New Roman"/>
          <w:sz w:val="20"/>
          <w:szCs w:val="20"/>
        </w:rPr>
      </w:pPr>
      <w:r w:rsidRPr="00BF5B08">
        <w:rPr>
          <w:rFonts w:cs="Times New Roman"/>
          <w:sz w:val="20"/>
          <w:szCs w:val="20"/>
        </w:rPr>
        <w:t>The knowledge section contained 22 questions needing a yes or no answer (e.g., SARS-CoV-2 spread</w:t>
      </w:r>
      <w:r w:rsidR="00D22A05">
        <w:rPr>
          <w:rFonts w:cs="Times New Roman"/>
          <w:sz w:val="20"/>
          <w:szCs w:val="20"/>
        </w:rPr>
        <w:t>s</w:t>
      </w:r>
      <w:r w:rsidRPr="00BF5B08">
        <w:rPr>
          <w:rFonts w:cs="Times New Roman"/>
          <w:sz w:val="20"/>
          <w:szCs w:val="20"/>
        </w:rPr>
        <w:t xml:space="preserve"> through respiratory droplets, which occur when infected people cough and sneeze). Correct responses (Yes) will receive the value 1, while wrong responses (No) will receive the value 0. The cumulative score ranged from </w:t>
      </w:r>
      <w:proofErr w:type="gramStart"/>
      <w:r w:rsidRPr="00BF5B08">
        <w:rPr>
          <w:rFonts w:cs="Times New Roman"/>
          <w:sz w:val="20"/>
          <w:szCs w:val="20"/>
        </w:rPr>
        <w:t>0</w:t>
      </w:r>
      <w:proofErr w:type="gramEnd"/>
      <w:r w:rsidRPr="00BF5B08">
        <w:rPr>
          <w:rFonts w:cs="Times New Roman"/>
          <w:sz w:val="20"/>
          <w:szCs w:val="20"/>
        </w:rPr>
        <w:t xml:space="preserve"> to 22, with a higher score reflecting an increase in COVID-19 preventive knowledge.</w:t>
      </w:r>
    </w:p>
    <w:p w14:paraId="772BFBC6" w14:textId="77777777" w:rsidR="00BF5B08" w:rsidRPr="00BF5B08" w:rsidRDefault="00BF5B08" w:rsidP="00BF5B08">
      <w:pPr>
        <w:pStyle w:val="Default"/>
        <w:ind w:left="360"/>
        <w:jc w:val="both"/>
        <w:rPr>
          <w:rFonts w:cs="Times New Roman"/>
          <w:sz w:val="20"/>
          <w:szCs w:val="20"/>
        </w:rPr>
      </w:pPr>
    </w:p>
    <w:p w14:paraId="6D66D37D" w14:textId="77777777" w:rsidR="00BF5B08" w:rsidRPr="00BF5B08" w:rsidRDefault="00BF5B08" w:rsidP="00D227AD">
      <w:pPr>
        <w:pStyle w:val="Default"/>
        <w:ind w:firstLine="360"/>
        <w:jc w:val="both"/>
        <w:rPr>
          <w:rFonts w:cs="Times New Roman"/>
          <w:sz w:val="20"/>
          <w:szCs w:val="20"/>
        </w:rPr>
      </w:pPr>
      <w:r w:rsidRPr="00BF5B08">
        <w:rPr>
          <w:rFonts w:cs="Times New Roman"/>
          <w:sz w:val="20"/>
          <w:szCs w:val="20"/>
        </w:rPr>
        <w:t xml:space="preserve">The attitude part contained six items, with each item's response recorded on a five-point Likert scale. 0 represents "Strongly Disagree," 1 represents "Disagree," 2 represents "Neutral," 3 represents "Agree," and 4 represents "Strongly Agree" (e.g., It is essential to keep my distance from others to avoid spreading SARS-CoV-2). A higher total score indicated </w:t>
      </w:r>
      <w:proofErr w:type="gramStart"/>
      <w:r w:rsidRPr="00BF5B08">
        <w:rPr>
          <w:rFonts w:cs="Times New Roman"/>
          <w:sz w:val="20"/>
          <w:szCs w:val="20"/>
        </w:rPr>
        <w:t>more favorable attitudes toward COVID-19 prevention</w:t>
      </w:r>
      <w:proofErr w:type="gramEnd"/>
      <w:r w:rsidRPr="00BF5B08">
        <w:rPr>
          <w:rFonts w:cs="Times New Roman"/>
          <w:sz w:val="20"/>
          <w:szCs w:val="20"/>
        </w:rPr>
        <w:t>.</w:t>
      </w:r>
    </w:p>
    <w:p w14:paraId="1CCC464B" w14:textId="77777777" w:rsidR="00BF5B08" w:rsidRPr="00BF5B08" w:rsidRDefault="00BF5B08" w:rsidP="00BF5B08">
      <w:pPr>
        <w:pStyle w:val="Default"/>
        <w:ind w:left="360"/>
        <w:jc w:val="both"/>
        <w:rPr>
          <w:rFonts w:cs="Times New Roman"/>
          <w:sz w:val="20"/>
          <w:szCs w:val="20"/>
        </w:rPr>
      </w:pPr>
    </w:p>
    <w:p w14:paraId="63B163AA" w14:textId="1AA17EA7" w:rsidR="00BF5B08" w:rsidRPr="00BF5B08" w:rsidRDefault="00BF5B08" w:rsidP="00D227AD">
      <w:pPr>
        <w:pStyle w:val="Default"/>
        <w:ind w:firstLine="360"/>
        <w:jc w:val="both"/>
        <w:rPr>
          <w:rFonts w:cs="Times New Roman"/>
          <w:sz w:val="20"/>
          <w:szCs w:val="20"/>
        </w:rPr>
      </w:pPr>
      <w:r w:rsidRPr="00BF5B08">
        <w:rPr>
          <w:rFonts w:cs="Times New Roman"/>
          <w:sz w:val="20"/>
          <w:szCs w:val="20"/>
        </w:rPr>
        <w:t xml:space="preserve">The health practices portion contained five practice measures in response to COVID-19, each requiring a yes or no answer (e.g., </w:t>
      </w:r>
      <w:proofErr w:type="gramStart"/>
      <w:r w:rsidRPr="00BF5B08">
        <w:rPr>
          <w:rFonts w:cs="Times New Roman"/>
          <w:sz w:val="20"/>
          <w:szCs w:val="20"/>
        </w:rPr>
        <w:t>Have</w:t>
      </w:r>
      <w:proofErr w:type="gramEnd"/>
      <w:r w:rsidRPr="00BF5B08">
        <w:rPr>
          <w:rFonts w:cs="Times New Roman"/>
          <w:sz w:val="20"/>
          <w:szCs w:val="20"/>
        </w:rPr>
        <w:t xml:space="preserve"> you recently avoided cultural habits such as shaking hands?). The total score for practice items is between </w:t>
      </w:r>
      <w:proofErr w:type="gramStart"/>
      <w:r w:rsidRPr="00BF5B08">
        <w:rPr>
          <w:rFonts w:cs="Times New Roman"/>
          <w:sz w:val="20"/>
          <w:szCs w:val="20"/>
        </w:rPr>
        <w:t>0</w:t>
      </w:r>
      <w:proofErr w:type="gramEnd"/>
      <w:r w:rsidRPr="00BF5B08">
        <w:rPr>
          <w:rFonts w:cs="Times New Roman"/>
          <w:sz w:val="20"/>
          <w:szCs w:val="20"/>
        </w:rPr>
        <w:t xml:space="preserve"> and 5, with a higher total score reflecting more frequency in practicing COVID-19 </w:t>
      </w:r>
      <w:r w:rsidRPr="00BF5B08">
        <w:rPr>
          <w:rFonts w:cs="Times New Roman"/>
          <w:sz w:val="20"/>
          <w:szCs w:val="20"/>
        </w:rPr>
        <w:lastRenderedPageBreak/>
        <w:t xml:space="preserve">prevention measures. </w:t>
      </w:r>
      <w:r w:rsidRPr="00BF5B08">
        <w:rPr>
          <w:rFonts w:cs="Times New Roman"/>
          <w:color w:val="000000" w:themeColor="text1"/>
          <w:sz w:val="20"/>
          <w:szCs w:val="20"/>
        </w:rPr>
        <w:t>After receiving the completed instruments, the lead researcher checked the respondents</w:t>
      </w:r>
      <w:r w:rsidR="00DD7DC6">
        <w:rPr>
          <w:rFonts w:cs="Times New Roman"/>
          <w:color w:val="000000" w:themeColor="text1"/>
          <w:sz w:val="20"/>
          <w:szCs w:val="20"/>
        </w:rPr>
        <w:t>'</w:t>
      </w:r>
      <w:r w:rsidRPr="00BF5B08">
        <w:rPr>
          <w:rFonts w:cs="Times New Roman"/>
          <w:color w:val="000000" w:themeColor="text1"/>
          <w:sz w:val="20"/>
          <w:szCs w:val="20"/>
        </w:rPr>
        <w:t xml:space="preserve"> responses for completeness and if it error-free.</w:t>
      </w:r>
    </w:p>
    <w:p w14:paraId="27496858" w14:textId="77777777" w:rsidR="00BF5B08" w:rsidRPr="00BF5B08" w:rsidRDefault="00BF5B08" w:rsidP="00BF5B08">
      <w:pPr>
        <w:pStyle w:val="Default"/>
        <w:ind w:left="360"/>
        <w:jc w:val="both"/>
        <w:rPr>
          <w:rFonts w:cs="Times New Roman"/>
          <w:sz w:val="20"/>
          <w:szCs w:val="20"/>
        </w:rPr>
      </w:pPr>
    </w:p>
    <w:p w14:paraId="4634CDE9" w14:textId="0566AFBD" w:rsidR="00BF5B08" w:rsidRPr="00BF5B08" w:rsidRDefault="000D7023" w:rsidP="00D227AD">
      <w:pPr>
        <w:pStyle w:val="Default"/>
        <w:jc w:val="both"/>
        <w:rPr>
          <w:rFonts w:cs="Times New Roman"/>
          <w:b/>
          <w:sz w:val="20"/>
          <w:szCs w:val="20"/>
        </w:rPr>
      </w:pPr>
      <w:r>
        <w:rPr>
          <w:rFonts w:cs="Times New Roman"/>
          <w:b/>
          <w:sz w:val="20"/>
          <w:szCs w:val="20"/>
        </w:rPr>
        <w:t xml:space="preserve">2.6 </w:t>
      </w:r>
      <w:r w:rsidR="00BF5B08" w:rsidRPr="00BF5B08">
        <w:rPr>
          <w:rFonts w:cs="Times New Roman"/>
          <w:b/>
          <w:sz w:val="20"/>
          <w:szCs w:val="20"/>
        </w:rPr>
        <w:t>The Health Education Program</w:t>
      </w:r>
    </w:p>
    <w:p w14:paraId="72CC4A98" w14:textId="500683F9" w:rsidR="00BF5B08" w:rsidRPr="00BF5B08" w:rsidRDefault="00BF5B08" w:rsidP="00D227AD">
      <w:pPr>
        <w:pStyle w:val="Default"/>
        <w:ind w:firstLine="360"/>
        <w:jc w:val="both"/>
        <w:rPr>
          <w:rFonts w:cs="Times New Roman"/>
          <w:color w:val="000000" w:themeColor="text1"/>
          <w:sz w:val="20"/>
          <w:szCs w:val="20"/>
          <w:lang w:val="en-PH"/>
        </w:rPr>
      </w:pPr>
      <w:r w:rsidRPr="00BF5B08">
        <w:rPr>
          <w:rFonts w:cs="Times New Roman"/>
          <w:sz w:val="20"/>
          <w:szCs w:val="20"/>
        </w:rPr>
        <w:t xml:space="preserve">The online health education program for COVID-19 prevention </w:t>
      </w:r>
      <w:proofErr w:type="gramStart"/>
      <w:r w:rsidRPr="00BF5B08">
        <w:rPr>
          <w:rFonts w:cs="Times New Roman"/>
          <w:sz w:val="20"/>
          <w:szCs w:val="20"/>
        </w:rPr>
        <w:t>was designed</w:t>
      </w:r>
      <w:proofErr w:type="gramEnd"/>
      <w:r w:rsidRPr="00BF5B08">
        <w:rPr>
          <w:rFonts w:cs="Times New Roman"/>
          <w:sz w:val="20"/>
          <w:szCs w:val="20"/>
        </w:rPr>
        <w:t xml:space="preserve"> based on the Communicable Disease Control Health Education Curriculum Analysis Tool (HECAT) and </w:t>
      </w:r>
      <w:r w:rsidRPr="00BF5B08">
        <w:rPr>
          <w:rFonts w:cs="Times New Roman"/>
          <w:color w:val="000000" w:themeColor="text1"/>
          <w:sz w:val="20"/>
          <w:szCs w:val="20"/>
        </w:rPr>
        <w:t>anchored on the Communicable Disease Control and Prevention guidelines.</w:t>
      </w:r>
      <w:r w:rsidRPr="00BF5B08">
        <w:rPr>
          <w:rFonts w:cs="Times New Roman"/>
          <w:sz w:val="20"/>
          <w:szCs w:val="20"/>
        </w:rPr>
        <w:t xml:space="preserve"> </w:t>
      </w:r>
      <w:r w:rsidRPr="00BF5B08">
        <w:rPr>
          <w:rFonts w:cs="Times New Roman"/>
          <w:color w:val="000000" w:themeColor="text1"/>
          <w:sz w:val="20"/>
          <w:szCs w:val="20"/>
        </w:rPr>
        <w:t xml:space="preserve">Three experts </w:t>
      </w:r>
      <w:r w:rsidRPr="00BF5B08">
        <w:rPr>
          <w:rFonts w:cs="Times New Roman"/>
          <w:sz w:val="20"/>
          <w:szCs w:val="20"/>
        </w:rPr>
        <w:t xml:space="preserve">(two internal medicine specialists and a university professor) and </w:t>
      </w:r>
      <w:r w:rsidRPr="00BF5B08">
        <w:rPr>
          <w:rFonts w:cs="Times New Roman"/>
          <w:color w:val="000000" w:themeColor="text1"/>
          <w:sz w:val="20"/>
          <w:szCs w:val="20"/>
        </w:rPr>
        <w:t>the 30 fourth-year college students</w:t>
      </w:r>
      <w:r w:rsidRPr="00BF5B08">
        <w:rPr>
          <w:rFonts w:cs="Times New Roman"/>
          <w:sz w:val="20"/>
          <w:szCs w:val="20"/>
        </w:rPr>
        <w:t xml:space="preserve"> who face-validated the instrument </w:t>
      </w:r>
      <w:r w:rsidRPr="00BF5B08">
        <w:rPr>
          <w:rFonts w:cs="Times New Roman"/>
          <w:color w:val="000000" w:themeColor="text1"/>
          <w:sz w:val="20"/>
          <w:szCs w:val="20"/>
        </w:rPr>
        <w:t>were also consulted for the health education program's outline. The v</w:t>
      </w:r>
      <w:proofErr w:type="spellStart"/>
      <w:r w:rsidRPr="00BF5B08">
        <w:rPr>
          <w:rFonts w:cs="Times New Roman"/>
          <w:color w:val="000000" w:themeColor="text1"/>
          <w:sz w:val="20"/>
          <w:szCs w:val="20"/>
          <w:lang w:val="en-PH"/>
        </w:rPr>
        <w:t>alidation</w:t>
      </w:r>
      <w:proofErr w:type="spellEnd"/>
      <w:r w:rsidRPr="00BF5B08">
        <w:rPr>
          <w:rFonts w:cs="Times New Roman"/>
          <w:color w:val="000000" w:themeColor="text1"/>
          <w:sz w:val="20"/>
          <w:szCs w:val="20"/>
          <w:lang w:val="en-PH"/>
        </w:rPr>
        <w:t xml:space="preserve"> instrument of the online health education program w</w:t>
      </w:r>
      <w:r w:rsidRPr="00BF5B08">
        <w:rPr>
          <w:rFonts w:cs="Times New Roman"/>
          <w:color w:val="000000" w:themeColor="text1"/>
          <w:sz w:val="20"/>
          <w:szCs w:val="20"/>
        </w:rPr>
        <w:t xml:space="preserve">as adapted from </w:t>
      </w:r>
      <w:r w:rsidRPr="00BF5B08">
        <w:rPr>
          <w:rFonts w:cs="Times New Roman"/>
          <w:color w:val="000000" w:themeColor="text1"/>
          <w:sz w:val="20"/>
          <w:szCs w:val="20"/>
        </w:rPr>
        <w:fldChar w:fldCharType="begin"/>
      </w:r>
      <w:r w:rsidR="00731D97">
        <w:rPr>
          <w:rFonts w:cs="Times New Roman"/>
          <w:color w:val="000000" w:themeColor="text1"/>
          <w:sz w:val="20"/>
          <w:szCs w:val="20"/>
        </w:rPr>
        <w:instrText xml:space="preserve"> ADDIN ZOTERO_ITEM CSL_CITATION {"citationID":"CmqEUUU2","properties":{"formattedCitation":"[18], [19]","plainCitation":"[18], [19]","noteIndex":0},"citationItems":[{"id":4255,"uris":["http://zotero.org/users/9384194/items/57ENX54X"],"itemData":{"id":4255,"type":"article-journal","container-title":"JOURNAL OF CLINICAL AND DIAGNOSTIC RESEARCH","DOI":"10.7860/JCDR/2017/28197.9946","ISSN":"2249782X","journalAbbreviation":"JCDR","source":"DOI.org (Crossref)","title":"Development and Validation of Health Education Tools and Evaluation Questionnaires for Improving Patient Care in Lifestyle Related Diseases","URL":"http://jcdr.net/article_fulltext.asp?issn=0973-709x&amp;year=2017&amp;volume=11&amp;issue=6&amp;page=JE06&amp;issn=0973-709x&amp;id=9946","author":[{"family":"Arora","given":"Charu"}],"accessed":{"date-parts":[["2022",2,3]]},"issued":{"date-parts":[["2017"]]}}},{"id":4274,"uris":["http://zotero.org/users/9384194/items/29CWGF2J"],"itemData":{"id":4274,"type":"article-journal","abstract":"Managing health and well-being issues can be challenging for college students. Alternative supports, such as online programs, have been identified as cost-effective and efficient methods of providing inclusive support to college students, removing numerous barriers to health and well-being promotion. The article summarized a novel, evidence-based approach to developing an online health and well-being program. The program is based on Cognitive Behavioral Therapy (CBT), the positive emotion, engagement, relationships, meaning, and accomplishments (PERMA) construct, and the analysis, design, development, implementation, and evaluation (ADDIE) model. It discusses future directions in the evaluation, assessment, and documentation of the fitness-for-purpose process. \n  \nKeywords: well-being, online health, physical health, college students, PERMA, CBT, ADDIE","container-title":"World Journal on Educational Technology: Current Issues","DOI":"10.18844/wjet.v14i1.6638","ISSN":"1309-0348","issue":"1","journalAbbreviation":"WJET","page":"64-78","source":"DOI.org (Crossref)","title":"Developing a health and well-being program for college students: An online intervention","title-short":"Developing a health and well-being program for college students","volume":"14","author":[{"family":"Villarino","given":"Resti Tito H"},{"family":"Villarino","given":"Maureen Lorence F."},{"family":"Temblor","given":"Maria Concepcion L."},{"family":"Bernard","given":"Prosper"},{"family":"Plaisent","given":"Michel"}],"issued":{"date-parts":[["2022",1,31]]}}}],"schema":"https://github.com/citation-style-language/schema/raw/master/csl-citation.json"} </w:instrText>
      </w:r>
      <w:r w:rsidRPr="00BF5B08">
        <w:rPr>
          <w:rFonts w:cs="Times New Roman"/>
          <w:color w:val="000000" w:themeColor="text1"/>
          <w:sz w:val="20"/>
          <w:szCs w:val="20"/>
        </w:rPr>
        <w:fldChar w:fldCharType="separate"/>
      </w:r>
      <w:r w:rsidR="00731D97" w:rsidRPr="00731D97">
        <w:rPr>
          <w:rFonts w:cs="Times New Roman"/>
          <w:sz w:val="20"/>
        </w:rPr>
        <w:t>[18], [19]</w:t>
      </w:r>
      <w:r w:rsidRPr="00BF5B08">
        <w:rPr>
          <w:rFonts w:cs="Times New Roman"/>
          <w:color w:val="000000" w:themeColor="text1"/>
          <w:sz w:val="20"/>
          <w:szCs w:val="20"/>
        </w:rPr>
        <w:fldChar w:fldCharType="end"/>
      </w:r>
      <w:r w:rsidRPr="00BF5B08">
        <w:rPr>
          <w:rFonts w:cs="Times New Roman"/>
          <w:color w:val="000000" w:themeColor="text1"/>
          <w:sz w:val="20"/>
          <w:szCs w:val="20"/>
        </w:rPr>
        <w:t xml:space="preserve"> on the Development and Validation of Health Education Tools and Evaluation and consists of the following parameters: </w:t>
      </w:r>
      <w:r w:rsidRPr="00BF5B08">
        <w:rPr>
          <w:rFonts w:cs="Times New Roman"/>
          <w:color w:val="000000" w:themeColor="text1"/>
          <w:sz w:val="20"/>
          <w:szCs w:val="20"/>
          <w:lang w:val="en-PH"/>
        </w:rPr>
        <w:t xml:space="preserve">topics are of interest to the participants, relevance of the content, and if the information added to the existing body of knowledge. </w:t>
      </w:r>
    </w:p>
    <w:p w14:paraId="22569917" w14:textId="77777777" w:rsidR="00BF5B08" w:rsidRPr="00BF5B08" w:rsidRDefault="00BF5B08" w:rsidP="00D227AD">
      <w:pPr>
        <w:pStyle w:val="Default"/>
        <w:ind w:firstLine="360"/>
        <w:jc w:val="both"/>
        <w:rPr>
          <w:rFonts w:cs="Times New Roman"/>
          <w:color w:val="000000" w:themeColor="text1"/>
          <w:sz w:val="20"/>
          <w:szCs w:val="20"/>
        </w:rPr>
      </w:pPr>
      <w:r w:rsidRPr="00BF5B08">
        <w:rPr>
          <w:rFonts w:cs="Times New Roman"/>
          <w:color w:val="000000" w:themeColor="text1"/>
          <w:sz w:val="20"/>
          <w:szCs w:val="20"/>
        </w:rPr>
        <w:t xml:space="preserve">The initial draft </w:t>
      </w:r>
      <w:proofErr w:type="gramStart"/>
      <w:r w:rsidRPr="00BF5B08">
        <w:rPr>
          <w:rFonts w:cs="Times New Roman"/>
          <w:color w:val="000000" w:themeColor="text1"/>
          <w:sz w:val="20"/>
          <w:szCs w:val="20"/>
        </w:rPr>
        <w:t>was initially provided</w:t>
      </w:r>
      <w:proofErr w:type="gramEnd"/>
      <w:r w:rsidRPr="00BF5B08">
        <w:rPr>
          <w:rFonts w:cs="Times New Roman"/>
          <w:color w:val="000000" w:themeColor="text1"/>
          <w:sz w:val="20"/>
          <w:szCs w:val="20"/>
        </w:rPr>
        <w:t xml:space="preserve"> to the university professor and the students to assess if the topics were of interest to the participants. After addressing the university professor and students' feedback, the program was sent to </w:t>
      </w:r>
      <w:r w:rsidRPr="00BF5B08">
        <w:rPr>
          <w:rFonts w:cs="Times New Roman"/>
          <w:sz w:val="20"/>
          <w:szCs w:val="20"/>
        </w:rPr>
        <w:t>two internal medicine specialists</w:t>
      </w:r>
      <w:r w:rsidRPr="00BF5B08">
        <w:rPr>
          <w:rFonts w:cs="Times New Roman"/>
          <w:color w:val="000000" w:themeColor="text1"/>
          <w:sz w:val="20"/>
          <w:szCs w:val="20"/>
        </w:rPr>
        <w:t xml:space="preserve"> to evaluate the </w:t>
      </w:r>
      <w:r w:rsidRPr="00BF5B08">
        <w:rPr>
          <w:rFonts w:cs="Times New Roman"/>
          <w:color w:val="000000" w:themeColor="text1"/>
          <w:sz w:val="20"/>
          <w:szCs w:val="20"/>
          <w:lang w:val="en-PH"/>
        </w:rPr>
        <w:t>relevance of the content and if the information added to the existing body of knowledge</w:t>
      </w:r>
      <w:r w:rsidRPr="00BF5B08">
        <w:rPr>
          <w:rFonts w:cs="Times New Roman"/>
          <w:color w:val="000000" w:themeColor="text1"/>
          <w:sz w:val="20"/>
          <w:szCs w:val="20"/>
        </w:rPr>
        <w:t xml:space="preserve">. A series of online sessions </w:t>
      </w:r>
      <w:proofErr w:type="gramStart"/>
      <w:r w:rsidRPr="00BF5B08">
        <w:rPr>
          <w:rFonts w:cs="Times New Roman"/>
          <w:color w:val="000000" w:themeColor="text1"/>
          <w:sz w:val="20"/>
          <w:szCs w:val="20"/>
        </w:rPr>
        <w:t>were held</w:t>
      </w:r>
      <w:proofErr w:type="gramEnd"/>
      <w:r w:rsidRPr="00BF5B08">
        <w:rPr>
          <w:rFonts w:cs="Times New Roman"/>
          <w:color w:val="000000" w:themeColor="text1"/>
          <w:sz w:val="20"/>
          <w:szCs w:val="20"/>
        </w:rPr>
        <w:t xml:space="preserve"> to address the experts' feedback and implement their recommendations. After adopting the recommendations, these three experts authorized the online health education program for implementation.</w:t>
      </w:r>
    </w:p>
    <w:p w14:paraId="62950260" w14:textId="7AED7C96" w:rsidR="00BF5B08" w:rsidRPr="00BF5B08" w:rsidRDefault="00BF5B08" w:rsidP="00D227AD">
      <w:pPr>
        <w:ind w:firstLine="360"/>
        <w:jc w:val="both"/>
        <w:rPr>
          <w:color w:val="000000" w:themeColor="text1"/>
        </w:rPr>
      </w:pPr>
      <w:r w:rsidRPr="00BF5B08">
        <w:rPr>
          <w:color w:val="000000" w:themeColor="text1"/>
        </w:rPr>
        <w:t xml:space="preserve">The </w:t>
      </w:r>
      <w:r w:rsidR="00E4606E">
        <w:rPr>
          <w:color w:val="000000" w:themeColor="text1"/>
        </w:rPr>
        <w:t>approved health education program discussed the following topics</w:t>
      </w:r>
      <w:r w:rsidRPr="00BF5B08">
        <w:rPr>
          <w:color w:val="000000" w:themeColor="text1"/>
        </w:rPr>
        <w:t>: 1. What is COVID-19</w:t>
      </w:r>
      <w:proofErr w:type="gramStart"/>
      <w:r w:rsidRPr="00BF5B08">
        <w:rPr>
          <w:color w:val="000000" w:themeColor="text1"/>
        </w:rPr>
        <w:t>?;</w:t>
      </w:r>
      <w:proofErr w:type="gramEnd"/>
      <w:r w:rsidRPr="00BF5B08">
        <w:rPr>
          <w:color w:val="000000" w:themeColor="text1"/>
        </w:rPr>
        <w:t xml:space="preserve"> 2. Virus variants; 3. Symptoms; 4. Testing; 5. Preventing disease; 6. If you are ill; 7. High-risk groups for COVID-19; 8. Daily activities and going outside; and 9. Vaccines. The objectives of the health education program were to provide students with an online community and the chance to interact with one another, to educate students about the fundamental concepts of COVID-19, such as transmission prevention, health promotion, and the importance of vaccination, and to equip students with tools to improve their health and well-being during the pandemic</w:t>
      </w:r>
      <w:r w:rsidR="001C43CC">
        <w:rPr>
          <w:color w:val="000000" w:themeColor="text1"/>
        </w:rPr>
        <w:t xml:space="preserve"> </w:t>
      </w:r>
      <w:r w:rsidR="001C43CC">
        <w:rPr>
          <w:color w:val="000000" w:themeColor="text1"/>
        </w:rPr>
        <w:fldChar w:fldCharType="begin"/>
      </w:r>
      <w:r w:rsidR="00731D97">
        <w:rPr>
          <w:color w:val="000000" w:themeColor="text1"/>
        </w:rPr>
        <w:instrText xml:space="preserve"> ADDIN ZOTERO_ITEM CSL_CITATION {"citationID":"4ASRiLVf","properties":{"formattedCitation":"[20]","plainCitation":"[20]","noteIndex":0},"citationItems":[{"id":3966,"uris":["http://zotero.org/users/9384194/items/9ZQ24M5U"],"itemData":{"id":3966,"type":"article-journal","abstract":"BACKGROUND: Hypertension is a serious health issue and a significant risk factor for cardiovascular disease and stroke. Although various health education models have been used to improve lifestyle in patients with hypertension, the findings have been inconsistent.\nOBJECTIVE: This study aims to assess the effects of a lifestyle intervention program using a modified Beliefs, Attitude, Subjective Norms, Enabling Factors (BASNEF) model among nonadherent participants with hypertension in managing elevated blood pressure (BP) levels.\nMETHODS: This study reports a quantitative quasi-experimental research work, particularly using a repeated-measures design of the within-subjects approach on the 50 nonadherent patients who received a diagnosis of essential hypertension in Cebu, Philippines. The research participants received 5 sessions of training based on a modified BASNEF model. An adherence instrument was used as an evaluation platform. The first phase gathers participants' relevant profiles and background, and the final phase gathers participants' systolic BP, diastolic BP, heart rate, and adherence scores.\nRESULTS: The results indicate that the phase 1 mean systolic readings (146.50, SD 19.59) differ significantly from the phase 4 mean systolic readings (134.92, SD 15.24). They also suggest that the lifestyle intervention based on session III or phase IV behavioral intention in the BASNEF model microgroup sessions positively affects BP readings among the research participants.\nCONCLUSIONS: This study has established that the BASNEF model approach can be a good BP management technique.","container-title":"JMIR cardio","DOI":"10.2196/20297","ISSN":"2561-1011","issue":"2","journalAbbreviation":"JMIR Cardio","language":"eng","note":"PMID: 34559063","page":"e20297","source":"PubMed","title":"The Effects of Lifestyle Intervention Using the Modified Beliefs, Attitude, Subjective Norms, Enabling Factors Model in Hypertension Management: Quasi-Experimental Study","title-short":"The Effects of Lifestyle Intervention Using the Modified Beliefs, Attitude, Subjective Norms, Enabling Factors Model in Hypertension Management","volume":"5","author":[{"family":"Villarino","given":"Resti Tito"},{"family":"Arcay","given":"Christopher Asuncion"},{"family":"Temblor","given":"Maria Concepcion"},{"family":"Villarino","given":"Maureen Lorence"},{"family":"Bagsit","given":"Rosita"},{"family":"Ocampo","given":"Lanndon"},{"family":"Bernard","given":"Paquito"}],"issued":{"date-parts":[["2021",9,24]]}}}],"schema":"https://github.com/citation-style-language/schema/raw/master/csl-citation.json"} </w:instrText>
      </w:r>
      <w:r w:rsidR="001C43CC">
        <w:rPr>
          <w:color w:val="000000" w:themeColor="text1"/>
        </w:rPr>
        <w:fldChar w:fldCharType="separate"/>
      </w:r>
      <w:r w:rsidR="00731D97" w:rsidRPr="00731D97">
        <w:t>[20]</w:t>
      </w:r>
      <w:r w:rsidR="001C43CC">
        <w:rPr>
          <w:color w:val="000000" w:themeColor="text1"/>
        </w:rPr>
        <w:fldChar w:fldCharType="end"/>
      </w:r>
      <w:r w:rsidRPr="00BF5B08">
        <w:rPr>
          <w:color w:val="000000" w:themeColor="text1"/>
        </w:rPr>
        <w:t>. The pr</w:t>
      </w:r>
      <w:r w:rsidR="006A5048">
        <w:rPr>
          <w:color w:val="000000" w:themeColor="text1"/>
        </w:rPr>
        <w:t>incipal researcher led the program's nine sessions</w:t>
      </w:r>
      <w:r w:rsidRPr="00BF5B08">
        <w:rPr>
          <w:color w:val="000000" w:themeColor="text1"/>
        </w:rPr>
        <w:t xml:space="preserve"> with assistance from co-researchers. The sessions lasted 45 to 60 minutes and occurred once every week. The schedule </w:t>
      </w:r>
      <w:proofErr w:type="gramStart"/>
      <w:r w:rsidRPr="00BF5B08">
        <w:rPr>
          <w:color w:val="000000" w:themeColor="text1"/>
        </w:rPr>
        <w:t>was established</w:t>
      </w:r>
      <w:proofErr w:type="gramEnd"/>
      <w:r w:rsidRPr="00BF5B08">
        <w:rPr>
          <w:color w:val="000000" w:themeColor="text1"/>
        </w:rPr>
        <w:t xml:space="preserve"> based on the participants' agreed-upon date and time. </w:t>
      </w:r>
      <w:r w:rsidR="0093286C">
        <w:rPr>
          <w:color w:val="000000" w:themeColor="text1"/>
        </w:rPr>
        <w:t xml:space="preserve">Students </w:t>
      </w:r>
      <w:proofErr w:type="gramStart"/>
      <w:r w:rsidR="0093286C">
        <w:rPr>
          <w:color w:val="000000" w:themeColor="text1"/>
        </w:rPr>
        <w:t>were taught</w:t>
      </w:r>
      <w:proofErr w:type="gramEnd"/>
      <w:r w:rsidR="0093286C">
        <w:rPr>
          <w:color w:val="000000" w:themeColor="text1"/>
        </w:rPr>
        <w:t xml:space="preserve"> the program's themes through online activities, video presentations, demonstrations, messages, and other displays published on the study's social media group. Zoom® video con</w:t>
      </w:r>
      <w:r w:rsidRPr="00BF5B08">
        <w:rPr>
          <w:color w:val="000000" w:themeColor="text1"/>
        </w:rPr>
        <w:t>ferencing </w:t>
      </w:r>
      <w:proofErr w:type="gramStart"/>
      <w:r w:rsidRPr="00BF5B08">
        <w:rPr>
          <w:color w:val="000000" w:themeColor="text1"/>
        </w:rPr>
        <w:t>was used</w:t>
      </w:r>
      <w:proofErr w:type="gramEnd"/>
      <w:r w:rsidRPr="00BF5B08">
        <w:rPr>
          <w:color w:val="000000" w:themeColor="text1"/>
        </w:rPr>
        <w:t xml:space="preserve"> to facilitate teaching strategies such as group discussions and dialogue sessions during educational courses. The participants also received PDF booklets and </w:t>
      </w:r>
      <w:proofErr w:type="spellStart"/>
      <w:r w:rsidRPr="00BF5B08">
        <w:rPr>
          <w:color w:val="000000" w:themeColor="text1"/>
        </w:rPr>
        <w:t>Powerpoint</w:t>
      </w:r>
      <w:proofErr w:type="spellEnd"/>
      <w:r w:rsidRPr="00BF5B08">
        <w:rPr>
          <w:color w:val="000000" w:themeColor="text1"/>
        </w:rPr>
        <w:t>® slides.</w:t>
      </w:r>
    </w:p>
    <w:p w14:paraId="09890867" w14:textId="77777777" w:rsidR="00BF5B08" w:rsidRPr="00BF5B08" w:rsidRDefault="00BF5B08" w:rsidP="00BF5B08">
      <w:pPr>
        <w:ind w:left="360"/>
        <w:jc w:val="both"/>
        <w:rPr>
          <w:color w:val="000000" w:themeColor="text1"/>
        </w:rPr>
      </w:pPr>
    </w:p>
    <w:p w14:paraId="6913FDA1" w14:textId="2567BD6A" w:rsidR="00BF5B08" w:rsidRPr="00BF5B08" w:rsidRDefault="00A36716" w:rsidP="00D227AD">
      <w:pPr>
        <w:jc w:val="both"/>
        <w:rPr>
          <w:b/>
        </w:rPr>
      </w:pPr>
      <w:r>
        <w:rPr>
          <w:b/>
        </w:rPr>
        <w:t xml:space="preserve">2.7 </w:t>
      </w:r>
      <w:r w:rsidR="00BF5B08" w:rsidRPr="00BF5B08">
        <w:rPr>
          <w:b/>
        </w:rPr>
        <w:t>Statistical Treatment</w:t>
      </w:r>
    </w:p>
    <w:p w14:paraId="7DC7F506" w14:textId="6E186AC9" w:rsidR="00BF5B08" w:rsidRPr="00A36716" w:rsidRDefault="00BF5B08" w:rsidP="00D227AD">
      <w:pPr>
        <w:ind w:firstLine="426"/>
        <w:jc w:val="both"/>
        <w:rPr>
          <w:color w:val="000000"/>
        </w:rPr>
      </w:pPr>
      <w:r w:rsidRPr="00BF5B08">
        <w:rPr>
          <w:color w:val="000000"/>
        </w:rPr>
        <w:t>Age, sex, and socio-economic levels </w:t>
      </w:r>
      <w:proofErr w:type="gramStart"/>
      <w:r w:rsidRPr="00BF5B08">
        <w:rPr>
          <w:color w:val="000000"/>
        </w:rPr>
        <w:t>were expressed</w:t>
      </w:r>
      <w:proofErr w:type="gramEnd"/>
      <w:r w:rsidRPr="00BF5B08">
        <w:rPr>
          <w:color w:val="000000"/>
        </w:rPr>
        <w:t xml:space="preserve"> as frequencies and percentages. The participants' pre-post knowledge, attitude, and practices regarding COVID-19 prevention </w:t>
      </w:r>
      <w:proofErr w:type="gramStart"/>
      <w:r w:rsidRPr="00BF5B08">
        <w:rPr>
          <w:color w:val="000000"/>
        </w:rPr>
        <w:t>were presented</w:t>
      </w:r>
      <w:proofErr w:type="gramEnd"/>
      <w:r w:rsidRPr="00BF5B08">
        <w:rPr>
          <w:color w:val="000000"/>
        </w:rPr>
        <w:t xml:space="preserve"> as mean with</w:t>
      </w:r>
      <w:r w:rsidR="00A45CB3">
        <w:rPr>
          <w:color w:val="000000"/>
        </w:rPr>
        <w:t xml:space="preserve"> </w:t>
      </w:r>
      <w:r w:rsidRPr="00BF5B08">
        <w:rPr>
          <w:color w:val="000000"/>
        </w:rPr>
        <w:t xml:space="preserve">standard deviation. </w:t>
      </w:r>
      <w:r w:rsidR="00A45CB3">
        <w:rPr>
          <w:color w:val="000000"/>
        </w:rPr>
        <w:t>T</w:t>
      </w:r>
      <w:r w:rsidRPr="00BF5B08">
        <w:rPr>
          <w:color w:val="000000"/>
        </w:rPr>
        <w:t xml:space="preserve">wo-sample paired t-test </w:t>
      </w:r>
      <w:proofErr w:type="gramStart"/>
      <w:r w:rsidRPr="00BF5B08">
        <w:rPr>
          <w:color w:val="000000"/>
        </w:rPr>
        <w:t>was performed</w:t>
      </w:r>
      <w:proofErr w:type="gramEnd"/>
      <w:r w:rsidRPr="00BF5B08">
        <w:rPr>
          <w:color w:val="000000"/>
        </w:rPr>
        <w:t xml:space="preserve"> to assess whether there is a significant difference between the p</w:t>
      </w:r>
      <w:r w:rsidR="00A45CB3">
        <w:rPr>
          <w:color w:val="000000"/>
        </w:rPr>
        <w:t>articipants' pre- and post-health education knowledge, attitude, and practices </w:t>
      </w:r>
      <w:r w:rsidRPr="00BF5B08">
        <w:rPr>
          <w:color w:val="000000"/>
        </w:rPr>
        <w:t xml:space="preserve">about COVID-19 prevention. The significance level of all tests of differences was set at 0.05. All analyses </w:t>
      </w:r>
      <w:proofErr w:type="gramStart"/>
      <w:r w:rsidRPr="00BF5B08">
        <w:rPr>
          <w:color w:val="000000"/>
        </w:rPr>
        <w:t>were conducted</w:t>
      </w:r>
      <w:proofErr w:type="gramEnd"/>
      <w:r w:rsidRPr="00BF5B08">
        <w:rPr>
          <w:color w:val="000000"/>
        </w:rPr>
        <w:t xml:space="preserve"> with </w:t>
      </w:r>
      <w:r w:rsidR="00A36716">
        <w:rPr>
          <w:color w:val="000000"/>
        </w:rPr>
        <w:t xml:space="preserve">IBM </w:t>
      </w:r>
      <w:r w:rsidRPr="00BF5B08">
        <w:rPr>
          <w:color w:val="000000"/>
        </w:rPr>
        <w:t>SPSS version 27.</w:t>
      </w:r>
    </w:p>
    <w:p w14:paraId="2F44A21F" w14:textId="77777777" w:rsidR="0002123A" w:rsidRPr="003847DA" w:rsidRDefault="0002123A" w:rsidP="0002123A">
      <w:pPr>
        <w:tabs>
          <w:tab w:val="left" w:pos="426"/>
        </w:tabs>
        <w:rPr>
          <w:lang w:val="id-ID"/>
        </w:rPr>
      </w:pPr>
    </w:p>
    <w:p w14:paraId="52F942E6" w14:textId="0C339AAC" w:rsidR="00E619D6" w:rsidRPr="009A32E7" w:rsidRDefault="00E619D6" w:rsidP="00FD3E46">
      <w:pPr>
        <w:numPr>
          <w:ilvl w:val="0"/>
          <w:numId w:val="15"/>
        </w:numPr>
        <w:tabs>
          <w:tab w:val="left" w:pos="426"/>
        </w:tabs>
        <w:ind w:left="426" w:hanging="426"/>
        <w:rPr>
          <w:b/>
          <w:bCs/>
          <w:lang w:val="id-ID"/>
        </w:rPr>
      </w:pPr>
      <w:r w:rsidRPr="009A32E7">
        <w:rPr>
          <w:b/>
          <w:bCs/>
          <w:lang w:val="id-ID"/>
        </w:rPr>
        <w:t>RESULTS AND DISCUSSION</w:t>
      </w:r>
      <w:r w:rsidRPr="009A32E7">
        <w:rPr>
          <w:b/>
          <w:bCs/>
        </w:rPr>
        <w:t xml:space="preserve"> </w:t>
      </w:r>
    </w:p>
    <w:p w14:paraId="7E09F4E3" w14:textId="68ED9B45" w:rsidR="00562E38" w:rsidRPr="009A32E7" w:rsidRDefault="00FA0E7B" w:rsidP="00D227AD">
      <w:pPr>
        <w:jc w:val="both"/>
        <w:rPr>
          <w:b/>
          <w:bCs/>
          <w:color w:val="111111"/>
          <w:shd w:val="clear" w:color="auto" w:fill="FFFFFF"/>
        </w:rPr>
      </w:pPr>
      <w:r w:rsidRPr="009A32E7">
        <w:rPr>
          <w:b/>
          <w:bCs/>
          <w:color w:val="111111"/>
          <w:shd w:val="clear" w:color="auto" w:fill="FFFFFF"/>
        </w:rPr>
        <w:t xml:space="preserve">3.1 </w:t>
      </w:r>
      <w:r w:rsidR="00562E38" w:rsidRPr="009A32E7">
        <w:rPr>
          <w:b/>
          <w:bCs/>
          <w:color w:val="111111"/>
          <w:shd w:val="clear" w:color="auto" w:fill="FFFFFF"/>
        </w:rPr>
        <w:t>Socio-demographic profile of the participants</w:t>
      </w:r>
    </w:p>
    <w:p w14:paraId="5F04A31F" w14:textId="3FCE69D1" w:rsidR="00562E38" w:rsidRPr="00562E38" w:rsidRDefault="00D227AD" w:rsidP="00D227AD">
      <w:pPr>
        <w:jc w:val="both"/>
      </w:pPr>
      <w:r w:rsidRPr="009A32E7">
        <w:t xml:space="preserve">         </w:t>
      </w:r>
      <w:r w:rsidR="00562E38" w:rsidRPr="009A32E7">
        <w:t>As presented in Table 1, the majority of study participants were between the ages of 20 and 22. Mostly females. The majority of participants belong to socio-economic level</w:t>
      </w:r>
      <w:r w:rsidR="00724CE1">
        <w:t>s</w:t>
      </w:r>
      <w:r w:rsidR="00562E38" w:rsidRPr="009A32E7">
        <w:t xml:space="preserve"> 5-6 or the lower middle-income group</w:t>
      </w:r>
      <w:r w:rsidR="009766B2" w:rsidRPr="009A32E7">
        <w:t xml:space="preserve"> </w:t>
      </w:r>
      <w:r w:rsidR="00562E38" w:rsidRPr="009A32E7">
        <w:fldChar w:fldCharType="begin"/>
      </w:r>
      <w:r w:rsidR="00731D97">
        <w:instrText xml:space="preserve"> ADDIN ZOTERO_ITEM CSL_CITATION {"citationID":"Bls87bHB","properties":{"formattedCitation":"[8], [21]","plainCitation":"[8], [21]","noteIndex":0},"citationItems":[{"id":4690,"uris":["http://zotero.org/users/9384194/items/9IJ3MXD4"],"itemData":{"id":4690,"type":"article-journal","abstract":"OBJECTIVE: To determine the relationship between physical health and well-being among college students in a state university and private college.\nMETHODOLOGY: The study used a quantitative method, utilizing a pretest-posttest study design on 178 college students. The test group received three months of the health and well-being program while the control continued their activities of daily living (ADL). Nutrition, physical activity, and sleep were measured using the adapted Canadian Community Health Survey - Annual Component–2021. Well-being was evaluated using the modified positive emotion, engagement, relationships, meaning, and accomplishments (PERMA) questionnaire. Phase 1 includes gathering the participants' sociodemographic profiles, and the research concludes with the evaluation of the program. SPSS v.27 was used to analyze the data.\nRESULTS: Multiple regression analysis results for engagement (r(176) = .26, p = .92), relationships (r (176) = .21, p = .06), accomplishments (r(176) = .22, p = .31), and the overall PERMA (r(176) = .13, p = .42) were greater than the significance level of 0.05. However, positive emotion (r(176) = .26, p = .006) and meaning (r(176) = .23, p = .02) results were less than the significance level of a=0.05 indicating evidence of significant relationship.\nCONCLUSION: The study has established that positive emotion and meaning are significantly related to physical activity, nutrition, and sleep.","issue":"03","language":"en","page":"7","source":"Zotero","title":"Association between Physical Health and Well-being: A Quasi-experimental Study","volume":"21","author":[{"family":"Villarino","given":"Resti Tito"},{"family":"Villarino","given":"Maureen Lorence"},{"family":"Temblor","given":"Maria Concepcion"},{"family":"Bernard","given":"Prosper"},{"family":"Plaisent","given":"Michel"}],"issued":{"date-parts":[["2022"]]}}},{"id":4039,"uris":["http://zotero.org/users/9384194/items/FPPDSERF"],"itemData":{"id":4039,"type":"webpage","title":"Who are the middle class?","URL":"https://www.rappler.com/voices/thought-leaders/who-are-middle-class","author":[{"family":"Albert","given":"JR"},{"family":"Gaspar","given":"R"}],"accessed":{"date-parts":[["2021",10,31]]},"issued":{"date-parts":[["2015"]]}}}],"schema":"https://github.com/citation-style-language/schema/raw/master/csl-citation.json"} </w:instrText>
      </w:r>
      <w:r w:rsidR="00562E38" w:rsidRPr="009A32E7">
        <w:fldChar w:fldCharType="separate"/>
      </w:r>
      <w:r w:rsidR="00731D97" w:rsidRPr="00731D97">
        <w:t>[8], [21]</w:t>
      </w:r>
      <w:r w:rsidR="00562E38" w:rsidRPr="009A32E7">
        <w:fldChar w:fldCharType="end"/>
      </w:r>
      <w:r w:rsidR="00562E38" w:rsidRPr="009A32E7">
        <w:t>. These families have monthly incomes between two and twelve times the poverty threshold (9,520-21,944 PHP/month). This wage group is insufficient to meet their family's demands, especially with the ris</w:t>
      </w:r>
      <w:r w:rsidR="00724CE1">
        <w:t>ing</w:t>
      </w:r>
      <w:r w:rsidR="00562E38" w:rsidRPr="009A32E7">
        <w:t xml:space="preserve"> cost of essential commodities</w:t>
      </w:r>
      <w:r w:rsidR="009766B2" w:rsidRPr="009A32E7">
        <w:t xml:space="preserve"> </w:t>
      </w:r>
      <w:r w:rsidR="00562E38" w:rsidRPr="009A32E7">
        <w:fldChar w:fldCharType="begin"/>
      </w:r>
      <w:r w:rsidR="00731D97">
        <w:instrText xml:space="preserve"> ADDIN ZOTERO_ITEM CSL_CITATION {"citationID":"JuVTgC43","properties":{"formattedCitation":"[22]","plainCitation":"[22]","noteIndex":0},"citationItems":[{"id":4437,"uris":["http://zotero.org/users/9384194/items/U45MU8NA"],"itemData":{"id":4437,"type":"webpage","title":"FF2022-09: Inflation of the Bottom 30% Income Households in January 2022","URL":"https://cpbrd.congress.gov.ph/2012-06-30-13-06-51/2012-06-30-13-36-50/1442-ff2022-09-inflation-of-the-bottom-30-income-households-in-january-2022","author":[{"family":"Congressional Policy and Budget Research Department","given":""}],"accessed":{"date-parts":[["2022",4,17]]},"issued":{"date-parts":[["2022"]]}}}],"schema":"https://github.com/citation-style-language/schema/raw/master/csl-citation.json"} </w:instrText>
      </w:r>
      <w:r w:rsidR="00562E38" w:rsidRPr="009A32E7">
        <w:fldChar w:fldCharType="separate"/>
      </w:r>
      <w:r w:rsidR="00731D97" w:rsidRPr="00731D97">
        <w:t>[22]</w:t>
      </w:r>
      <w:r w:rsidR="00562E38" w:rsidRPr="009A32E7">
        <w:fldChar w:fldCharType="end"/>
      </w:r>
      <w:r w:rsidR="00562E38" w:rsidRPr="009A32E7">
        <w:t>. However, free tertiary education in the Philippines raises college and university enrollment</w:t>
      </w:r>
      <w:r w:rsidR="009766B2" w:rsidRPr="009A32E7">
        <w:t xml:space="preserve"> </w:t>
      </w:r>
      <w:r w:rsidR="00562E38" w:rsidRPr="009A32E7">
        <w:fldChar w:fldCharType="begin"/>
      </w:r>
      <w:r w:rsidR="00731D97">
        <w:instrText xml:space="preserve"> ADDIN ZOTERO_ITEM CSL_CITATION {"citationID":"X3PuP9ZG","properties":{"formattedCitation":"[23]","plainCitation":"[23]","noteIndex":0},"citationItems":[{"id":4435,"uris":["http://zotero.org/users/9384194/items/NVSHZZQI"],"itemData":{"id":4435,"type":"webpage","title":"CHED, DBM Release Guidelines on Free Tuition in SUCs - CHED","URL":"https://ched.gov.ph/ched-dbm-release-guidelines-free-tuition-sucs/","author":[{"family":"CHED","given":""}],"accessed":{"date-parts":[["2022",4,17]]},"issued":{"date-parts":[["2018"]]}}}],"schema":"https://github.com/citation-style-language/schema/raw/master/csl-citation.json"} </w:instrText>
      </w:r>
      <w:r w:rsidR="00562E38" w:rsidRPr="009A32E7">
        <w:fldChar w:fldCharType="separate"/>
      </w:r>
      <w:r w:rsidR="00731D97" w:rsidRPr="00731D97">
        <w:t>[23]</w:t>
      </w:r>
      <w:r w:rsidR="00562E38" w:rsidRPr="009A32E7">
        <w:fldChar w:fldCharType="end"/>
      </w:r>
      <w:r w:rsidR="00562E38" w:rsidRPr="009A32E7">
        <w:t>.</w:t>
      </w:r>
    </w:p>
    <w:p w14:paraId="4FF2C370" w14:textId="77777777" w:rsidR="00562E38" w:rsidRPr="00562E38" w:rsidRDefault="00562E38" w:rsidP="00562E38">
      <w:pPr>
        <w:ind w:left="360"/>
        <w:jc w:val="both"/>
      </w:pPr>
    </w:p>
    <w:tbl>
      <w:tblPr>
        <w:tblStyle w:val="TableGrid"/>
        <w:tblW w:w="0" w:type="auto"/>
        <w:tblLook w:val="04A0" w:firstRow="1" w:lastRow="0" w:firstColumn="1" w:lastColumn="0" w:noHBand="0" w:noVBand="1"/>
      </w:tblPr>
      <w:tblGrid>
        <w:gridCol w:w="2929"/>
        <w:gridCol w:w="2925"/>
        <w:gridCol w:w="2934"/>
      </w:tblGrid>
      <w:tr w:rsidR="00562E38" w:rsidRPr="00562E38" w14:paraId="583259D3" w14:textId="77777777" w:rsidTr="00D227AD">
        <w:tc>
          <w:tcPr>
            <w:tcW w:w="9350" w:type="dxa"/>
            <w:gridSpan w:val="3"/>
            <w:tcBorders>
              <w:top w:val="nil"/>
              <w:left w:val="nil"/>
              <w:bottom w:val="single" w:sz="4" w:space="0" w:color="auto"/>
              <w:right w:val="nil"/>
            </w:tcBorders>
            <w:shd w:val="clear" w:color="auto" w:fill="auto"/>
          </w:tcPr>
          <w:p w14:paraId="2F407E19" w14:textId="77777777" w:rsidR="00562E38" w:rsidRPr="00562E38" w:rsidRDefault="00562E38" w:rsidP="00562E38">
            <w:pPr>
              <w:ind w:left="360"/>
              <w:jc w:val="both"/>
              <w:rPr>
                <w:bCs/>
                <w:color w:val="111111"/>
                <w:shd w:val="clear" w:color="auto" w:fill="FFFFFF"/>
              </w:rPr>
            </w:pPr>
            <w:r w:rsidRPr="00562E38">
              <w:t xml:space="preserve">Table 1: </w:t>
            </w:r>
            <w:r w:rsidRPr="00562E38">
              <w:rPr>
                <w:bCs/>
                <w:color w:val="111111"/>
                <w:shd w:val="clear" w:color="auto" w:fill="FFFFFF"/>
              </w:rPr>
              <w:t>Socio-demographic profile of the participants</w:t>
            </w:r>
          </w:p>
        </w:tc>
      </w:tr>
      <w:tr w:rsidR="00562E38" w:rsidRPr="00562E38" w14:paraId="166B8C48" w14:textId="77777777" w:rsidTr="00D227AD">
        <w:tc>
          <w:tcPr>
            <w:tcW w:w="3127" w:type="dxa"/>
            <w:tcBorders>
              <w:top w:val="single" w:sz="4" w:space="0" w:color="auto"/>
              <w:left w:val="nil"/>
              <w:bottom w:val="single" w:sz="4" w:space="0" w:color="auto"/>
              <w:right w:val="nil"/>
            </w:tcBorders>
            <w:shd w:val="clear" w:color="auto" w:fill="auto"/>
          </w:tcPr>
          <w:p w14:paraId="1EACDE34" w14:textId="77777777" w:rsidR="00562E38" w:rsidRPr="00562E38" w:rsidRDefault="00562E38" w:rsidP="00D227AD">
            <w:pPr>
              <w:ind w:left="360"/>
              <w:jc w:val="center"/>
              <w:rPr>
                <w:b/>
              </w:rPr>
            </w:pPr>
            <w:r w:rsidRPr="00562E38">
              <w:rPr>
                <w:b/>
              </w:rPr>
              <w:t>Profile</w:t>
            </w:r>
          </w:p>
        </w:tc>
        <w:tc>
          <w:tcPr>
            <w:tcW w:w="3109" w:type="dxa"/>
            <w:tcBorders>
              <w:top w:val="single" w:sz="4" w:space="0" w:color="auto"/>
              <w:left w:val="nil"/>
              <w:bottom w:val="single" w:sz="4" w:space="0" w:color="auto"/>
              <w:right w:val="nil"/>
            </w:tcBorders>
            <w:shd w:val="clear" w:color="auto" w:fill="auto"/>
          </w:tcPr>
          <w:p w14:paraId="68D52F9A" w14:textId="77777777" w:rsidR="00562E38" w:rsidRPr="00562E38" w:rsidRDefault="00562E38" w:rsidP="00D227AD">
            <w:pPr>
              <w:ind w:left="360"/>
              <w:jc w:val="center"/>
              <w:rPr>
                <w:b/>
              </w:rPr>
            </w:pPr>
            <w:r w:rsidRPr="00562E38">
              <w:rPr>
                <w:b/>
              </w:rPr>
              <w:t>Frequency (N=178)</w:t>
            </w:r>
          </w:p>
        </w:tc>
        <w:tc>
          <w:tcPr>
            <w:tcW w:w="3114" w:type="dxa"/>
            <w:tcBorders>
              <w:top w:val="single" w:sz="4" w:space="0" w:color="auto"/>
              <w:left w:val="nil"/>
              <w:bottom w:val="single" w:sz="4" w:space="0" w:color="auto"/>
              <w:right w:val="nil"/>
            </w:tcBorders>
            <w:shd w:val="clear" w:color="auto" w:fill="auto"/>
          </w:tcPr>
          <w:p w14:paraId="5590286C" w14:textId="77777777" w:rsidR="00562E38" w:rsidRPr="00562E38" w:rsidRDefault="00562E38" w:rsidP="00D227AD">
            <w:pPr>
              <w:ind w:left="360"/>
              <w:jc w:val="center"/>
              <w:rPr>
                <w:b/>
              </w:rPr>
            </w:pPr>
            <w:r w:rsidRPr="00562E38">
              <w:rPr>
                <w:b/>
              </w:rPr>
              <w:t>Percentage (%)</w:t>
            </w:r>
          </w:p>
        </w:tc>
      </w:tr>
      <w:tr w:rsidR="00562E38" w:rsidRPr="00562E38" w14:paraId="012E8C99" w14:textId="77777777" w:rsidTr="00D227AD">
        <w:tc>
          <w:tcPr>
            <w:tcW w:w="3127" w:type="dxa"/>
            <w:tcBorders>
              <w:left w:val="nil"/>
              <w:bottom w:val="nil"/>
              <w:right w:val="nil"/>
            </w:tcBorders>
            <w:shd w:val="clear" w:color="auto" w:fill="auto"/>
          </w:tcPr>
          <w:p w14:paraId="36F15FDA" w14:textId="77777777" w:rsidR="00562E38" w:rsidRPr="00562E38" w:rsidRDefault="00562E38" w:rsidP="00562E38">
            <w:pPr>
              <w:ind w:left="360"/>
              <w:rPr>
                <w:b/>
              </w:rPr>
            </w:pPr>
            <w:r w:rsidRPr="00562E38">
              <w:rPr>
                <w:b/>
              </w:rPr>
              <w:t>Age</w:t>
            </w:r>
          </w:p>
        </w:tc>
        <w:tc>
          <w:tcPr>
            <w:tcW w:w="3109" w:type="dxa"/>
            <w:tcBorders>
              <w:left w:val="nil"/>
              <w:bottom w:val="nil"/>
              <w:right w:val="nil"/>
            </w:tcBorders>
            <w:shd w:val="clear" w:color="auto" w:fill="auto"/>
          </w:tcPr>
          <w:p w14:paraId="64F702CA" w14:textId="77777777" w:rsidR="00562E38" w:rsidRPr="00562E38" w:rsidRDefault="00562E38" w:rsidP="00562E38">
            <w:pPr>
              <w:ind w:left="360"/>
            </w:pPr>
          </w:p>
        </w:tc>
        <w:tc>
          <w:tcPr>
            <w:tcW w:w="3114" w:type="dxa"/>
            <w:tcBorders>
              <w:left w:val="nil"/>
              <w:bottom w:val="nil"/>
              <w:right w:val="nil"/>
            </w:tcBorders>
            <w:shd w:val="clear" w:color="auto" w:fill="auto"/>
          </w:tcPr>
          <w:p w14:paraId="7332DBFE" w14:textId="77777777" w:rsidR="00562E38" w:rsidRPr="00562E38" w:rsidRDefault="00562E38" w:rsidP="00562E38">
            <w:pPr>
              <w:ind w:left="360"/>
            </w:pPr>
          </w:p>
        </w:tc>
      </w:tr>
      <w:tr w:rsidR="00562E38" w:rsidRPr="00562E38" w14:paraId="748192AC" w14:textId="77777777" w:rsidTr="00D227AD">
        <w:tc>
          <w:tcPr>
            <w:tcW w:w="3127" w:type="dxa"/>
            <w:tcBorders>
              <w:top w:val="nil"/>
              <w:left w:val="nil"/>
              <w:bottom w:val="nil"/>
              <w:right w:val="nil"/>
            </w:tcBorders>
            <w:shd w:val="clear" w:color="auto" w:fill="auto"/>
          </w:tcPr>
          <w:p w14:paraId="71D47DA8" w14:textId="13C08208" w:rsidR="00562E38" w:rsidRPr="00562E38" w:rsidRDefault="00562E38" w:rsidP="00562E38">
            <w:pPr>
              <w:ind w:left="360"/>
            </w:pPr>
            <w:r w:rsidRPr="00562E38">
              <w:t>23 and above</w:t>
            </w:r>
          </w:p>
        </w:tc>
        <w:tc>
          <w:tcPr>
            <w:tcW w:w="3109" w:type="dxa"/>
            <w:tcBorders>
              <w:top w:val="nil"/>
              <w:left w:val="nil"/>
              <w:bottom w:val="nil"/>
              <w:right w:val="nil"/>
            </w:tcBorders>
            <w:shd w:val="clear" w:color="auto" w:fill="auto"/>
          </w:tcPr>
          <w:p w14:paraId="7FE57916" w14:textId="77777777" w:rsidR="00562E38" w:rsidRPr="00562E38" w:rsidRDefault="00562E38" w:rsidP="00562E38">
            <w:pPr>
              <w:ind w:left="360"/>
              <w:jc w:val="center"/>
            </w:pPr>
            <w:r w:rsidRPr="00562E38">
              <w:t>16</w:t>
            </w:r>
          </w:p>
        </w:tc>
        <w:tc>
          <w:tcPr>
            <w:tcW w:w="3114" w:type="dxa"/>
            <w:tcBorders>
              <w:top w:val="nil"/>
              <w:left w:val="nil"/>
              <w:bottom w:val="nil"/>
              <w:right w:val="nil"/>
            </w:tcBorders>
            <w:shd w:val="clear" w:color="auto" w:fill="auto"/>
          </w:tcPr>
          <w:p w14:paraId="21632B51" w14:textId="77777777" w:rsidR="00562E38" w:rsidRPr="00562E38" w:rsidRDefault="00562E38" w:rsidP="00562E38">
            <w:pPr>
              <w:ind w:left="360"/>
              <w:jc w:val="center"/>
            </w:pPr>
            <w:r w:rsidRPr="00562E38">
              <w:t>8.99</w:t>
            </w:r>
          </w:p>
        </w:tc>
      </w:tr>
      <w:tr w:rsidR="00562E38" w:rsidRPr="00562E38" w14:paraId="7AA562C3" w14:textId="77777777" w:rsidTr="00D227AD">
        <w:tc>
          <w:tcPr>
            <w:tcW w:w="3127" w:type="dxa"/>
            <w:tcBorders>
              <w:top w:val="nil"/>
              <w:left w:val="nil"/>
              <w:bottom w:val="nil"/>
              <w:right w:val="nil"/>
            </w:tcBorders>
            <w:shd w:val="clear" w:color="auto" w:fill="auto"/>
          </w:tcPr>
          <w:p w14:paraId="29E4BEEE" w14:textId="74BBA0E7" w:rsidR="00562E38" w:rsidRPr="00562E38" w:rsidRDefault="00562E38" w:rsidP="00562E38">
            <w:pPr>
              <w:ind w:left="360"/>
            </w:pPr>
            <w:r w:rsidRPr="00562E38">
              <w:t>20-21 years old</w:t>
            </w:r>
          </w:p>
        </w:tc>
        <w:tc>
          <w:tcPr>
            <w:tcW w:w="3109" w:type="dxa"/>
            <w:tcBorders>
              <w:top w:val="nil"/>
              <w:left w:val="nil"/>
              <w:bottom w:val="nil"/>
              <w:right w:val="nil"/>
            </w:tcBorders>
            <w:shd w:val="clear" w:color="auto" w:fill="auto"/>
          </w:tcPr>
          <w:p w14:paraId="477D8069" w14:textId="77777777" w:rsidR="00562E38" w:rsidRPr="00562E38" w:rsidRDefault="00562E38" w:rsidP="00562E38">
            <w:pPr>
              <w:ind w:left="360"/>
              <w:jc w:val="center"/>
            </w:pPr>
            <w:r w:rsidRPr="00562E38">
              <w:t>124</w:t>
            </w:r>
          </w:p>
        </w:tc>
        <w:tc>
          <w:tcPr>
            <w:tcW w:w="3114" w:type="dxa"/>
            <w:tcBorders>
              <w:top w:val="nil"/>
              <w:left w:val="nil"/>
              <w:bottom w:val="nil"/>
              <w:right w:val="nil"/>
            </w:tcBorders>
            <w:shd w:val="clear" w:color="auto" w:fill="auto"/>
          </w:tcPr>
          <w:p w14:paraId="34B40EB7" w14:textId="77777777" w:rsidR="00562E38" w:rsidRPr="00562E38" w:rsidRDefault="00562E38" w:rsidP="00562E38">
            <w:pPr>
              <w:ind w:left="360"/>
              <w:jc w:val="center"/>
            </w:pPr>
            <w:r w:rsidRPr="00562E38">
              <w:t>69.66</w:t>
            </w:r>
          </w:p>
        </w:tc>
      </w:tr>
      <w:tr w:rsidR="00562E38" w:rsidRPr="00562E38" w14:paraId="66C20560" w14:textId="77777777" w:rsidTr="00D227AD">
        <w:tc>
          <w:tcPr>
            <w:tcW w:w="3127" w:type="dxa"/>
            <w:tcBorders>
              <w:top w:val="nil"/>
              <w:left w:val="nil"/>
              <w:bottom w:val="nil"/>
              <w:right w:val="nil"/>
            </w:tcBorders>
            <w:shd w:val="clear" w:color="auto" w:fill="auto"/>
          </w:tcPr>
          <w:p w14:paraId="35CABC57" w14:textId="656A4B3A" w:rsidR="00562E38" w:rsidRPr="00562E38" w:rsidRDefault="00562E38" w:rsidP="00562E38">
            <w:pPr>
              <w:ind w:left="360"/>
            </w:pPr>
            <w:r w:rsidRPr="00562E38">
              <w:t>18 and below</w:t>
            </w:r>
          </w:p>
        </w:tc>
        <w:tc>
          <w:tcPr>
            <w:tcW w:w="3109" w:type="dxa"/>
            <w:tcBorders>
              <w:top w:val="nil"/>
              <w:left w:val="nil"/>
              <w:bottom w:val="nil"/>
              <w:right w:val="nil"/>
            </w:tcBorders>
            <w:shd w:val="clear" w:color="auto" w:fill="auto"/>
          </w:tcPr>
          <w:p w14:paraId="3DA825DB" w14:textId="77777777" w:rsidR="00562E38" w:rsidRPr="00562E38" w:rsidRDefault="00562E38" w:rsidP="00562E38">
            <w:pPr>
              <w:ind w:left="360"/>
              <w:jc w:val="center"/>
            </w:pPr>
            <w:r w:rsidRPr="00562E38">
              <w:t>38</w:t>
            </w:r>
          </w:p>
        </w:tc>
        <w:tc>
          <w:tcPr>
            <w:tcW w:w="3114" w:type="dxa"/>
            <w:tcBorders>
              <w:top w:val="nil"/>
              <w:left w:val="nil"/>
              <w:bottom w:val="nil"/>
              <w:right w:val="nil"/>
            </w:tcBorders>
            <w:shd w:val="clear" w:color="auto" w:fill="auto"/>
          </w:tcPr>
          <w:p w14:paraId="76C10AA3" w14:textId="77777777" w:rsidR="00562E38" w:rsidRPr="00562E38" w:rsidRDefault="00562E38" w:rsidP="00562E38">
            <w:pPr>
              <w:ind w:left="360"/>
              <w:jc w:val="center"/>
            </w:pPr>
            <w:r w:rsidRPr="00562E38">
              <w:t>21.35</w:t>
            </w:r>
          </w:p>
        </w:tc>
      </w:tr>
      <w:tr w:rsidR="00562E38" w:rsidRPr="00562E38" w14:paraId="4EF286CF" w14:textId="77777777" w:rsidTr="00D227AD">
        <w:tc>
          <w:tcPr>
            <w:tcW w:w="3127" w:type="dxa"/>
            <w:tcBorders>
              <w:top w:val="nil"/>
              <w:left w:val="nil"/>
              <w:bottom w:val="nil"/>
              <w:right w:val="nil"/>
            </w:tcBorders>
            <w:shd w:val="clear" w:color="auto" w:fill="auto"/>
          </w:tcPr>
          <w:p w14:paraId="3C551EF3" w14:textId="77777777" w:rsidR="00562E38" w:rsidRPr="00562E38" w:rsidRDefault="00562E38" w:rsidP="00562E38">
            <w:pPr>
              <w:ind w:left="360"/>
              <w:rPr>
                <w:b/>
              </w:rPr>
            </w:pPr>
            <w:r w:rsidRPr="00562E38">
              <w:rPr>
                <w:b/>
              </w:rPr>
              <w:t>Sex</w:t>
            </w:r>
          </w:p>
        </w:tc>
        <w:tc>
          <w:tcPr>
            <w:tcW w:w="3109" w:type="dxa"/>
            <w:tcBorders>
              <w:top w:val="nil"/>
              <w:left w:val="nil"/>
              <w:bottom w:val="nil"/>
              <w:right w:val="nil"/>
            </w:tcBorders>
            <w:shd w:val="clear" w:color="auto" w:fill="auto"/>
          </w:tcPr>
          <w:p w14:paraId="28911969" w14:textId="77777777" w:rsidR="00562E38" w:rsidRPr="00562E38" w:rsidRDefault="00562E38" w:rsidP="00562E38">
            <w:pPr>
              <w:ind w:left="360"/>
              <w:jc w:val="center"/>
            </w:pPr>
          </w:p>
        </w:tc>
        <w:tc>
          <w:tcPr>
            <w:tcW w:w="3114" w:type="dxa"/>
            <w:tcBorders>
              <w:top w:val="nil"/>
              <w:left w:val="nil"/>
              <w:bottom w:val="nil"/>
              <w:right w:val="nil"/>
            </w:tcBorders>
            <w:shd w:val="clear" w:color="auto" w:fill="auto"/>
          </w:tcPr>
          <w:p w14:paraId="61888F69" w14:textId="77777777" w:rsidR="00562E38" w:rsidRPr="00562E38" w:rsidRDefault="00562E38" w:rsidP="00562E38">
            <w:pPr>
              <w:ind w:left="360"/>
              <w:jc w:val="center"/>
            </w:pPr>
          </w:p>
        </w:tc>
      </w:tr>
      <w:tr w:rsidR="00562E38" w:rsidRPr="00562E38" w14:paraId="26BB22BC" w14:textId="77777777" w:rsidTr="00D227AD">
        <w:tc>
          <w:tcPr>
            <w:tcW w:w="3127" w:type="dxa"/>
            <w:tcBorders>
              <w:top w:val="nil"/>
              <w:left w:val="nil"/>
              <w:bottom w:val="nil"/>
              <w:right w:val="nil"/>
            </w:tcBorders>
            <w:shd w:val="clear" w:color="auto" w:fill="auto"/>
          </w:tcPr>
          <w:p w14:paraId="492AA0F8" w14:textId="0071D85B" w:rsidR="00562E38" w:rsidRPr="00562E38" w:rsidRDefault="00562E38" w:rsidP="00562E38">
            <w:pPr>
              <w:ind w:left="360"/>
            </w:pPr>
            <w:r w:rsidRPr="00562E38">
              <w:t>Female</w:t>
            </w:r>
          </w:p>
        </w:tc>
        <w:tc>
          <w:tcPr>
            <w:tcW w:w="3109" w:type="dxa"/>
            <w:tcBorders>
              <w:top w:val="nil"/>
              <w:left w:val="nil"/>
              <w:bottom w:val="nil"/>
              <w:right w:val="nil"/>
            </w:tcBorders>
            <w:shd w:val="clear" w:color="auto" w:fill="auto"/>
          </w:tcPr>
          <w:p w14:paraId="036E27E8" w14:textId="77777777" w:rsidR="00562E38" w:rsidRPr="00562E38" w:rsidRDefault="00562E38" w:rsidP="00562E38">
            <w:pPr>
              <w:ind w:left="360"/>
              <w:jc w:val="center"/>
            </w:pPr>
            <w:r w:rsidRPr="00562E38">
              <w:t>136</w:t>
            </w:r>
          </w:p>
        </w:tc>
        <w:tc>
          <w:tcPr>
            <w:tcW w:w="3114" w:type="dxa"/>
            <w:tcBorders>
              <w:top w:val="nil"/>
              <w:left w:val="nil"/>
              <w:bottom w:val="nil"/>
              <w:right w:val="nil"/>
            </w:tcBorders>
            <w:shd w:val="clear" w:color="auto" w:fill="auto"/>
          </w:tcPr>
          <w:p w14:paraId="33FDB2A5" w14:textId="77777777" w:rsidR="00562E38" w:rsidRPr="00562E38" w:rsidRDefault="00562E38" w:rsidP="00562E38">
            <w:pPr>
              <w:ind w:left="360"/>
              <w:jc w:val="center"/>
            </w:pPr>
            <w:r w:rsidRPr="00562E38">
              <w:t>76.40</w:t>
            </w:r>
          </w:p>
        </w:tc>
      </w:tr>
      <w:tr w:rsidR="00562E38" w:rsidRPr="00562E38" w14:paraId="193D82D9" w14:textId="77777777" w:rsidTr="00D227AD">
        <w:tc>
          <w:tcPr>
            <w:tcW w:w="3127" w:type="dxa"/>
            <w:tcBorders>
              <w:top w:val="nil"/>
              <w:left w:val="nil"/>
              <w:bottom w:val="nil"/>
              <w:right w:val="nil"/>
            </w:tcBorders>
            <w:shd w:val="clear" w:color="auto" w:fill="auto"/>
          </w:tcPr>
          <w:p w14:paraId="74304203" w14:textId="2C517768" w:rsidR="00562E38" w:rsidRPr="00562E38" w:rsidRDefault="00562E38" w:rsidP="00562E38">
            <w:pPr>
              <w:ind w:left="360"/>
            </w:pPr>
            <w:r w:rsidRPr="00562E38">
              <w:t>Male</w:t>
            </w:r>
          </w:p>
        </w:tc>
        <w:tc>
          <w:tcPr>
            <w:tcW w:w="3109" w:type="dxa"/>
            <w:tcBorders>
              <w:top w:val="nil"/>
              <w:left w:val="nil"/>
              <w:bottom w:val="nil"/>
              <w:right w:val="nil"/>
            </w:tcBorders>
            <w:shd w:val="clear" w:color="auto" w:fill="auto"/>
          </w:tcPr>
          <w:p w14:paraId="7A61645F" w14:textId="77777777" w:rsidR="00562E38" w:rsidRPr="00562E38" w:rsidRDefault="00562E38" w:rsidP="00562E38">
            <w:pPr>
              <w:ind w:left="360"/>
              <w:jc w:val="center"/>
            </w:pPr>
            <w:r w:rsidRPr="00562E38">
              <w:t>42</w:t>
            </w:r>
          </w:p>
        </w:tc>
        <w:tc>
          <w:tcPr>
            <w:tcW w:w="3114" w:type="dxa"/>
            <w:tcBorders>
              <w:top w:val="nil"/>
              <w:left w:val="nil"/>
              <w:bottom w:val="nil"/>
              <w:right w:val="nil"/>
            </w:tcBorders>
            <w:shd w:val="clear" w:color="auto" w:fill="auto"/>
          </w:tcPr>
          <w:p w14:paraId="05549750" w14:textId="77777777" w:rsidR="00562E38" w:rsidRPr="00562E38" w:rsidRDefault="00562E38" w:rsidP="00562E38">
            <w:pPr>
              <w:ind w:left="360"/>
              <w:jc w:val="center"/>
            </w:pPr>
            <w:r w:rsidRPr="00562E38">
              <w:t>23.60</w:t>
            </w:r>
          </w:p>
        </w:tc>
      </w:tr>
      <w:tr w:rsidR="00562E38" w:rsidRPr="00562E38" w14:paraId="2416298F" w14:textId="77777777" w:rsidTr="00D227AD">
        <w:tc>
          <w:tcPr>
            <w:tcW w:w="3127" w:type="dxa"/>
            <w:tcBorders>
              <w:top w:val="nil"/>
              <w:left w:val="nil"/>
              <w:bottom w:val="nil"/>
              <w:right w:val="nil"/>
            </w:tcBorders>
            <w:shd w:val="clear" w:color="auto" w:fill="auto"/>
          </w:tcPr>
          <w:p w14:paraId="67D18DCE" w14:textId="79092FD9" w:rsidR="00562E38" w:rsidRPr="00562E38" w:rsidRDefault="00562E38" w:rsidP="00562E38">
            <w:pPr>
              <w:ind w:left="360"/>
              <w:rPr>
                <w:b/>
              </w:rPr>
            </w:pPr>
            <w:r w:rsidRPr="00562E38">
              <w:rPr>
                <w:b/>
              </w:rPr>
              <w:t>Socio-economic Levels</w:t>
            </w:r>
            <w:r w:rsidR="00B8691A">
              <w:rPr>
                <w:b/>
              </w:rPr>
              <w:t>*</w:t>
            </w:r>
          </w:p>
        </w:tc>
        <w:tc>
          <w:tcPr>
            <w:tcW w:w="3109" w:type="dxa"/>
            <w:tcBorders>
              <w:top w:val="nil"/>
              <w:left w:val="nil"/>
              <w:bottom w:val="nil"/>
              <w:right w:val="nil"/>
            </w:tcBorders>
            <w:shd w:val="clear" w:color="auto" w:fill="auto"/>
          </w:tcPr>
          <w:p w14:paraId="6D3A02E8" w14:textId="77777777" w:rsidR="00562E38" w:rsidRPr="00562E38" w:rsidRDefault="00562E38" w:rsidP="00562E38">
            <w:pPr>
              <w:ind w:left="360"/>
              <w:jc w:val="center"/>
            </w:pPr>
          </w:p>
        </w:tc>
        <w:tc>
          <w:tcPr>
            <w:tcW w:w="3114" w:type="dxa"/>
            <w:tcBorders>
              <w:top w:val="nil"/>
              <w:left w:val="nil"/>
              <w:bottom w:val="nil"/>
              <w:right w:val="nil"/>
            </w:tcBorders>
            <w:shd w:val="clear" w:color="auto" w:fill="auto"/>
          </w:tcPr>
          <w:p w14:paraId="658E6DC6" w14:textId="77777777" w:rsidR="00562E38" w:rsidRPr="00562E38" w:rsidRDefault="00562E38" w:rsidP="00562E38">
            <w:pPr>
              <w:ind w:left="360"/>
              <w:jc w:val="center"/>
            </w:pPr>
          </w:p>
        </w:tc>
      </w:tr>
      <w:tr w:rsidR="00562E38" w:rsidRPr="00562E38" w14:paraId="6A5DE121" w14:textId="77777777" w:rsidTr="00D227AD">
        <w:tc>
          <w:tcPr>
            <w:tcW w:w="3127" w:type="dxa"/>
            <w:tcBorders>
              <w:top w:val="nil"/>
              <w:left w:val="nil"/>
              <w:bottom w:val="nil"/>
              <w:right w:val="nil"/>
            </w:tcBorders>
            <w:shd w:val="clear" w:color="auto" w:fill="auto"/>
          </w:tcPr>
          <w:p w14:paraId="01452A9F" w14:textId="4BB43E00" w:rsidR="00562E38" w:rsidRPr="00562E38" w:rsidRDefault="00562E38" w:rsidP="00562E38">
            <w:pPr>
              <w:ind w:left="360"/>
            </w:pPr>
            <w:r w:rsidRPr="00562E38">
              <w:t xml:space="preserve">13-14 </w:t>
            </w:r>
          </w:p>
        </w:tc>
        <w:tc>
          <w:tcPr>
            <w:tcW w:w="3109" w:type="dxa"/>
            <w:tcBorders>
              <w:top w:val="nil"/>
              <w:left w:val="nil"/>
              <w:bottom w:val="nil"/>
              <w:right w:val="nil"/>
            </w:tcBorders>
            <w:shd w:val="clear" w:color="auto" w:fill="auto"/>
          </w:tcPr>
          <w:p w14:paraId="5580B6CE" w14:textId="77777777" w:rsidR="00562E38" w:rsidRPr="00562E38" w:rsidRDefault="00562E38" w:rsidP="00562E38">
            <w:pPr>
              <w:ind w:left="360"/>
              <w:jc w:val="center"/>
            </w:pPr>
            <w:r w:rsidRPr="00562E38">
              <w:t>0</w:t>
            </w:r>
          </w:p>
        </w:tc>
        <w:tc>
          <w:tcPr>
            <w:tcW w:w="3114" w:type="dxa"/>
            <w:tcBorders>
              <w:top w:val="nil"/>
              <w:left w:val="nil"/>
              <w:bottom w:val="nil"/>
              <w:right w:val="nil"/>
            </w:tcBorders>
            <w:shd w:val="clear" w:color="auto" w:fill="auto"/>
          </w:tcPr>
          <w:p w14:paraId="45F1DAA6" w14:textId="77777777" w:rsidR="00562E38" w:rsidRPr="00562E38" w:rsidRDefault="00562E38" w:rsidP="00562E38">
            <w:pPr>
              <w:ind w:left="360"/>
              <w:jc w:val="center"/>
            </w:pPr>
            <w:r w:rsidRPr="00562E38">
              <w:t>0.00</w:t>
            </w:r>
          </w:p>
        </w:tc>
      </w:tr>
      <w:tr w:rsidR="00562E38" w:rsidRPr="00562E38" w14:paraId="01C950AB" w14:textId="77777777" w:rsidTr="00D227AD">
        <w:tc>
          <w:tcPr>
            <w:tcW w:w="3127" w:type="dxa"/>
            <w:tcBorders>
              <w:top w:val="nil"/>
              <w:left w:val="nil"/>
              <w:bottom w:val="nil"/>
              <w:right w:val="nil"/>
            </w:tcBorders>
            <w:shd w:val="clear" w:color="auto" w:fill="auto"/>
          </w:tcPr>
          <w:p w14:paraId="2E928C20" w14:textId="675A6133" w:rsidR="00562E38" w:rsidRPr="00562E38" w:rsidRDefault="00562E38" w:rsidP="00562E38">
            <w:pPr>
              <w:ind w:left="360"/>
            </w:pPr>
            <w:r w:rsidRPr="00562E38">
              <w:lastRenderedPageBreak/>
              <w:t xml:space="preserve">11-12 </w:t>
            </w:r>
          </w:p>
        </w:tc>
        <w:tc>
          <w:tcPr>
            <w:tcW w:w="3109" w:type="dxa"/>
            <w:tcBorders>
              <w:top w:val="nil"/>
              <w:left w:val="nil"/>
              <w:bottom w:val="nil"/>
              <w:right w:val="nil"/>
            </w:tcBorders>
            <w:shd w:val="clear" w:color="auto" w:fill="auto"/>
          </w:tcPr>
          <w:p w14:paraId="471678FF" w14:textId="77777777" w:rsidR="00562E38" w:rsidRPr="00562E38" w:rsidRDefault="00562E38" w:rsidP="00562E38">
            <w:pPr>
              <w:ind w:left="360"/>
              <w:jc w:val="center"/>
            </w:pPr>
            <w:r w:rsidRPr="00562E38">
              <w:t>0</w:t>
            </w:r>
          </w:p>
        </w:tc>
        <w:tc>
          <w:tcPr>
            <w:tcW w:w="3114" w:type="dxa"/>
            <w:tcBorders>
              <w:top w:val="nil"/>
              <w:left w:val="nil"/>
              <w:bottom w:val="nil"/>
              <w:right w:val="nil"/>
            </w:tcBorders>
            <w:shd w:val="clear" w:color="auto" w:fill="auto"/>
          </w:tcPr>
          <w:p w14:paraId="442CB284" w14:textId="77777777" w:rsidR="00562E38" w:rsidRPr="00562E38" w:rsidRDefault="00562E38" w:rsidP="00562E38">
            <w:pPr>
              <w:ind w:left="360"/>
              <w:jc w:val="center"/>
            </w:pPr>
            <w:r w:rsidRPr="00562E38">
              <w:t>0.00</w:t>
            </w:r>
          </w:p>
        </w:tc>
      </w:tr>
      <w:tr w:rsidR="00562E38" w:rsidRPr="00562E38" w14:paraId="2C5303B6" w14:textId="77777777" w:rsidTr="00D227AD">
        <w:tc>
          <w:tcPr>
            <w:tcW w:w="3127" w:type="dxa"/>
            <w:tcBorders>
              <w:top w:val="nil"/>
              <w:left w:val="nil"/>
              <w:bottom w:val="nil"/>
              <w:right w:val="nil"/>
            </w:tcBorders>
            <w:shd w:val="clear" w:color="auto" w:fill="auto"/>
          </w:tcPr>
          <w:p w14:paraId="23285404" w14:textId="3B587162" w:rsidR="00562E38" w:rsidRPr="00562E38" w:rsidRDefault="00562E38" w:rsidP="00562E38">
            <w:pPr>
              <w:ind w:left="360"/>
            </w:pPr>
            <w:r w:rsidRPr="00562E38">
              <w:t xml:space="preserve">9 – 10 </w:t>
            </w:r>
          </w:p>
        </w:tc>
        <w:tc>
          <w:tcPr>
            <w:tcW w:w="3109" w:type="dxa"/>
            <w:tcBorders>
              <w:top w:val="nil"/>
              <w:left w:val="nil"/>
              <w:bottom w:val="nil"/>
              <w:right w:val="nil"/>
            </w:tcBorders>
            <w:shd w:val="clear" w:color="auto" w:fill="auto"/>
          </w:tcPr>
          <w:p w14:paraId="5D2BD128" w14:textId="77777777" w:rsidR="00562E38" w:rsidRPr="00562E38" w:rsidRDefault="00562E38" w:rsidP="00562E38">
            <w:pPr>
              <w:ind w:left="360"/>
              <w:jc w:val="center"/>
            </w:pPr>
            <w:r w:rsidRPr="00562E38">
              <w:t>10</w:t>
            </w:r>
          </w:p>
        </w:tc>
        <w:tc>
          <w:tcPr>
            <w:tcW w:w="3114" w:type="dxa"/>
            <w:tcBorders>
              <w:top w:val="nil"/>
              <w:left w:val="nil"/>
              <w:bottom w:val="nil"/>
              <w:right w:val="nil"/>
            </w:tcBorders>
            <w:shd w:val="clear" w:color="auto" w:fill="auto"/>
          </w:tcPr>
          <w:p w14:paraId="7503C2BF" w14:textId="77777777" w:rsidR="00562E38" w:rsidRPr="00562E38" w:rsidRDefault="00562E38" w:rsidP="00562E38">
            <w:pPr>
              <w:ind w:left="360"/>
              <w:jc w:val="center"/>
            </w:pPr>
            <w:r w:rsidRPr="00562E38">
              <w:t>5.62</w:t>
            </w:r>
          </w:p>
        </w:tc>
      </w:tr>
      <w:tr w:rsidR="00562E38" w:rsidRPr="00562E38" w14:paraId="59AE9C6E" w14:textId="77777777" w:rsidTr="00D227AD">
        <w:tc>
          <w:tcPr>
            <w:tcW w:w="3127" w:type="dxa"/>
            <w:tcBorders>
              <w:top w:val="nil"/>
              <w:left w:val="nil"/>
              <w:bottom w:val="nil"/>
              <w:right w:val="nil"/>
            </w:tcBorders>
            <w:shd w:val="clear" w:color="auto" w:fill="auto"/>
          </w:tcPr>
          <w:p w14:paraId="07C22D5F" w14:textId="5F883521" w:rsidR="00562E38" w:rsidRPr="00562E38" w:rsidRDefault="00562E38" w:rsidP="00562E38">
            <w:pPr>
              <w:ind w:left="360"/>
            </w:pPr>
            <w:r w:rsidRPr="00562E38">
              <w:t xml:space="preserve">7 – 8 </w:t>
            </w:r>
          </w:p>
        </w:tc>
        <w:tc>
          <w:tcPr>
            <w:tcW w:w="3109" w:type="dxa"/>
            <w:tcBorders>
              <w:top w:val="nil"/>
              <w:left w:val="nil"/>
              <w:bottom w:val="nil"/>
              <w:right w:val="nil"/>
            </w:tcBorders>
            <w:shd w:val="clear" w:color="auto" w:fill="auto"/>
          </w:tcPr>
          <w:p w14:paraId="3F53373B" w14:textId="77777777" w:rsidR="00562E38" w:rsidRPr="00562E38" w:rsidRDefault="00562E38" w:rsidP="00562E38">
            <w:pPr>
              <w:ind w:left="360"/>
              <w:jc w:val="center"/>
            </w:pPr>
            <w:r w:rsidRPr="00562E38">
              <w:t>50</w:t>
            </w:r>
          </w:p>
        </w:tc>
        <w:tc>
          <w:tcPr>
            <w:tcW w:w="3114" w:type="dxa"/>
            <w:tcBorders>
              <w:top w:val="nil"/>
              <w:left w:val="nil"/>
              <w:bottom w:val="nil"/>
              <w:right w:val="nil"/>
            </w:tcBorders>
            <w:shd w:val="clear" w:color="auto" w:fill="auto"/>
          </w:tcPr>
          <w:p w14:paraId="767AA23B" w14:textId="77777777" w:rsidR="00562E38" w:rsidRPr="00562E38" w:rsidRDefault="00562E38" w:rsidP="00562E38">
            <w:pPr>
              <w:ind w:left="360"/>
              <w:jc w:val="center"/>
            </w:pPr>
            <w:r w:rsidRPr="00562E38">
              <w:t>28.09</w:t>
            </w:r>
          </w:p>
        </w:tc>
      </w:tr>
      <w:tr w:rsidR="00562E38" w:rsidRPr="00562E38" w14:paraId="1B7DD459" w14:textId="77777777" w:rsidTr="00D227AD">
        <w:tc>
          <w:tcPr>
            <w:tcW w:w="3127" w:type="dxa"/>
            <w:tcBorders>
              <w:top w:val="nil"/>
              <w:left w:val="nil"/>
              <w:bottom w:val="nil"/>
              <w:right w:val="nil"/>
            </w:tcBorders>
            <w:shd w:val="clear" w:color="auto" w:fill="auto"/>
          </w:tcPr>
          <w:p w14:paraId="1AB4107D" w14:textId="1F82AF97" w:rsidR="00562E38" w:rsidRPr="00562E38" w:rsidRDefault="00562E38" w:rsidP="00562E38">
            <w:pPr>
              <w:ind w:left="360"/>
            </w:pPr>
            <w:r w:rsidRPr="00562E38">
              <w:t xml:space="preserve">5 – 6 </w:t>
            </w:r>
          </w:p>
        </w:tc>
        <w:tc>
          <w:tcPr>
            <w:tcW w:w="3109" w:type="dxa"/>
            <w:tcBorders>
              <w:top w:val="nil"/>
              <w:left w:val="nil"/>
              <w:bottom w:val="nil"/>
              <w:right w:val="nil"/>
            </w:tcBorders>
            <w:shd w:val="clear" w:color="auto" w:fill="auto"/>
          </w:tcPr>
          <w:p w14:paraId="08E94DCD" w14:textId="77777777" w:rsidR="00562E38" w:rsidRPr="00562E38" w:rsidRDefault="00562E38" w:rsidP="00562E38">
            <w:pPr>
              <w:ind w:left="360"/>
              <w:jc w:val="center"/>
            </w:pPr>
            <w:r w:rsidRPr="00562E38">
              <w:t>78</w:t>
            </w:r>
          </w:p>
        </w:tc>
        <w:tc>
          <w:tcPr>
            <w:tcW w:w="3114" w:type="dxa"/>
            <w:tcBorders>
              <w:top w:val="nil"/>
              <w:left w:val="nil"/>
              <w:bottom w:val="nil"/>
              <w:right w:val="nil"/>
            </w:tcBorders>
            <w:shd w:val="clear" w:color="auto" w:fill="auto"/>
          </w:tcPr>
          <w:p w14:paraId="795A6266" w14:textId="77777777" w:rsidR="00562E38" w:rsidRPr="00562E38" w:rsidRDefault="00562E38" w:rsidP="00562E38">
            <w:pPr>
              <w:ind w:left="360"/>
              <w:jc w:val="center"/>
            </w:pPr>
            <w:r w:rsidRPr="00562E38">
              <w:t>43.82</w:t>
            </w:r>
          </w:p>
        </w:tc>
      </w:tr>
      <w:tr w:rsidR="00562E38" w:rsidRPr="00562E38" w14:paraId="4AC2FB3A" w14:textId="77777777" w:rsidTr="00D227AD">
        <w:tc>
          <w:tcPr>
            <w:tcW w:w="3127" w:type="dxa"/>
            <w:tcBorders>
              <w:top w:val="nil"/>
              <w:left w:val="nil"/>
              <w:bottom w:val="nil"/>
              <w:right w:val="nil"/>
            </w:tcBorders>
            <w:shd w:val="clear" w:color="auto" w:fill="auto"/>
          </w:tcPr>
          <w:p w14:paraId="45482662" w14:textId="0CB0BD50" w:rsidR="00562E38" w:rsidRPr="00562E38" w:rsidRDefault="00562E38" w:rsidP="00562E38">
            <w:pPr>
              <w:ind w:left="360"/>
            </w:pPr>
            <w:r w:rsidRPr="00562E38">
              <w:t xml:space="preserve">3 – 4 </w:t>
            </w:r>
          </w:p>
        </w:tc>
        <w:tc>
          <w:tcPr>
            <w:tcW w:w="3109" w:type="dxa"/>
            <w:tcBorders>
              <w:top w:val="nil"/>
              <w:left w:val="nil"/>
              <w:bottom w:val="nil"/>
              <w:right w:val="nil"/>
            </w:tcBorders>
            <w:shd w:val="clear" w:color="auto" w:fill="auto"/>
          </w:tcPr>
          <w:p w14:paraId="7BF56573" w14:textId="77777777" w:rsidR="00562E38" w:rsidRPr="00562E38" w:rsidRDefault="00562E38" w:rsidP="00562E38">
            <w:pPr>
              <w:ind w:left="360"/>
              <w:jc w:val="center"/>
            </w:pPr>
            <w:r w:rsidRPr="00562E38">
              <w:t>21</w:t>
            </w:r>
          </w:p>
        </w:tc>
        <w:tc>
          <w:tcPr>
            <w:tcW w:w="3114" w:type="dxa"/>
            <w:tcBorders>
              <w:top w:val="nil"/>
              <w:left w:val="nil"/>
              <w:bottom w:val="nil"/>
              <w:right w:val="nil"/>
            </w:tcBorders>
            <w:shd w:val="clear" w:color="auto" w:fill="auto"/>
          </w:tcPr>
          <w:p w14:paraId="1041E38B" w14:textId="77777777" w:rsidR="00562E38" w:rsidRPr="00562E38" w:rsidRDefault="00562E38" w:rsidP="00562E38">
            <w:pPr>
              <w:ind w:left="360"/>
              <w:jc w:val="center"/>
            </w:pPr>
            <w:r w:rsidRPr="00562E38">
              <w:t>11.80</w:t>
            </w:r>
          </w:p>
        </w:tc>
      </w:tr>
      <w:tr w:rsidR="00562E38" w:rsidRPr="00D227AD" w14:paraId="06529689" w14:textId="77777777" w:rsidTr="00D227AD">
        <w:tc>
          <w:tcPr>
            <w:tcW w:w="3127" w:type="dxa"/>
            <w:tcBorders>
              <w:top w:val="nil"/>
              <w:left w:val="nil"/>
              <w:right w:val="nil"/>
            </w:tcBorders>
            <w:shd w:val="clear" w:color="auto" w:fill="auto"/>
          </w:tcPr>
          <w:p w14:paraId="352CAE99" w14:textId="02B67F09" w:rsidR="00562E38" w:rsidRPr="00D227AD" w:rsidRDefault="00562E38" w:rsidP="00562E38">
            <w:pPr>
              <w:ind w:left="360"/>
            </w:pPr>
            <w:r w:rsidRPr="00D227AD">
              <w:t xml:space="preserve">1 – 2 </w:t>
            </w:r>
          </w:p>
        </w:tc>
        <w:tc>
          <w:tcPr>
            <w:tcW w:w="3109" w:type="dxa"/>
            <w:tcBorders>
              <w:top w:val="nil"/>
              <w:left w:val="nil"/>
              <w:right w:val="nil"/>
            </w:tcBorders>
            <w:shd w:val="clear" w:color="auto" w:fill="auto"/>
          </w:tcPr>
          <w:p w14:paraId="0E32E4D9" w14:textId="77777777" w:rsidR="00562E38" w:rsidRPr="00D227AD" w:rsidRDefault="00562E38" w:rsidP="00562E38">
            <w:pPr>
              <w:ind w:left="360"/>
              <w:jc w:val="center"/>
            </w:pPr>
            <w:r w:rsidRPr="00D227AD">
              <w:t>19</w:t>
            </w:r>
          </w:p>
        </w:tc>
        <w:tc>
          <w:tcPr>
            <w:tcW w:w="3114" w:type="dxa"/>
            <w:tcBorders>
              <w:top w:val="nil"/>
              <w:left w:val="nil"/>
              <w:right w:val="nil"/>
            </w:tcBorders>
            <w:shd w:val="clear" w:color="auto" w:fill="auto"/>
          </w:tcPr>
          <w:p w14:paraId="51821453" w14:textId="77777777" w:rsidR="00562E38" w:rsidRPr="00D227AD" w:rsidRDefault="00562E38" w:rsidP="00562E38">
            <w:pPr>
              <w:ind w:left="360"/>
              <w:jc w:val="center"/>
            </w:pPr>
            <w:r w:rsidRPr="00D227AD">
              <w:t>10.67</w:t>
            </w:r>
          </w:p>
        </w:tc>
      </w:tr>
    </w:tbl>
    <w:p w14:paraId="2965CC34" w14:textId="5FE62D62" w:rsidR="00562E38" w:rsidRPr="00D227AD" w:rsidRDefault="00562E38" w:rsidP="00562E38">
      <w:pPr>
        <w:ind w:left="360"/>
      </w:pPr>
      <w:r w:rsidRPr="00D227AD">
        <w:rPr>
          <w:bCs/>
          <w:color w:val="111111"/>
          <w:shd w:val="clear" w:color="auto" w:fill="FFFFFF"/>
        </w:rPr>
        <w:t xml:space="preserve">*Socio-economic levels: </w:t>
      </w:r>
      <w:r w:rsidRPr="00D227AD">
        <w:t>13-14 Rich; 11-12 High income; 9 – 10 Upper middle income; 7 – 8 Middle class; 5 – 6 Lower middle class; 3 – 4 Low income</w:t>
      </w:r>
      <w:r w:rsidR="00D227AD" w:rsidRPr="00D227AD">
        <w:t xml:space="preserve"> </w:t>
      </w:r>
      <w:r w:rsidRPr="00D227AD">
        <w:fldChar w:fldCharType="begin"/>
      </w:r>
      <w:r w:rsidR="00731D97">
        <w:instrText xml:space="preserve"> ADDIN ZOTERO_ITEM CSL_CITATION {"citationID":"A1q0PebX","properties":{"formattedCitation":"[21]","plainCitation":"[21]","noteIndex":0},"citationItems":[{"id":4039,"uris":["http://zotero.org/users/9384194/items/FPPDSERF"],"itemData":{"id":4039,"type":"webpage","title":"Who are the middle class?","URL":"https://www.rappler.com/voices/thought-leaders/who-are-middle-class","author":[{"family":"Albert","given":"JR"},{"family":"Gaspar","given":"R"}],"accessed":{"date-parts":[["2021",10,31]]},"issued":{"date-parts":[["2015"]]}}}],"schema":"https://github.com/citation-style-language/schema/raw/master/csl-citation.json"} </w:instrText>
      </w:r>
      <w:r w:rsidRPr="00D227AD">
        <w:fldChar w:fldCharType="separate"/>
      </w:r>
      <w:r w:rsidR="00731D97" w:rsidRPr="00731D97">
        <w:t>[21]</w:t>
      </w:r>
      <w:r w:rsidRPr="00D227AD">
        <w:fldChar w:fldCharType="end"/>
      </w:r>
      <w:r w:rsidRPr="00D227AD">
        <w:t>.</w:t>
      </w:r>
    </w:p>
    <w:p w14:paraId="4157B6D7" w14:textId="77777777" w:rsidR="00562E38" w:rsidRPr="00562E38" w:rsidRDefault="00562E38" w:rsidP="00562E38">
      <w:pPr>
        <w:ind w:left="360"/>
        <w:rPr>
          <w:i/>
          <w:iCs/>
        </w:rPr>
      </w:pPr>
    </w:p>
    <w:p w14:paraId="033B5522" w14:textId="18F5DE31" w:rsidR="00562E38" w:rsidRPr="002E3B0E" w:rsidRDefault="00FA0E7B" w:rsidP="009B68B8">
      <w:pPr>
        <w:rPr>
          <w:b/>
          <w:i/>
          <w:iCs/>
        </w:rPr>
      </w:pPr>
      <w:r w:rsidRPr="002E3B0E">
        <w:rPr>
          <w:b/>
          <w:color w:val="000000" w:themeColor="text1"/>
        </w:rPr>
        <w:t xml:space="preserve">3.2 </w:t>
      </w:r>
      <w:r w:rsidR="00562E38" w:rsidRPr="002E3B0E">
        <w:rPr>
          <w:b/>
          <w:color w:val="000000" w:themeColor="text1"/>
        </w:rPr>
        <w:t>Test of Significant Difference of the Pretest and Posttest Means of Knowledge</w:t>
      </w:r>
      <w:r w:rsidRPr="002E3B0E">
        <w:rPr>
          <w:b/>
          <w:color w:val="000000" w:themeColor="text1"/>
        </w:rPr>
        <w:t>, Attitude, and Practices</w:t>
      </w:r>
      <w:r w:rsidR="00562E38" w:rsidRPr="002E3B0E">
        <w:rPr>
          <w:b/>
          <w:color w:val="000000" w:themeColor="text1"/>
        </w:rPr>
        <w:t xml:space="preserve"> on COVID-19 Prevention</w:t>
      </w:r>
    </w:p>
    <w:p w14:paraId="163DBC7D" w14:textId="366E7D84" w:rsidR="00562E38" w:rsidRPr="002E3B0E" w:rsidRDefault="00562E38" w:rsidP="009B68B8">
      <w:pPr>
        <w:ind w:firstLine="360"/>
        <w:jc w:val="both"/>
      </w:pPr>
      <w:r w:rsidRPr="002E3B0E">
        <w:t>The participants pretest and posttest means with the corresponding sample standard deviation values of the knowledge</w:t>
      </w:r>
      <w:r w:rsidR="00512128" w:rsidRPr="002E3B0E">
        <w:t>, attitude, and practices</w:t>
      </w:r>
      <w:r w:rsidRPr="002E3B0E">
        <w:t xml:space="preserve"> on COVID-19 prevention </w:t>
      </w:r>
      <w:proofErr w:type="gramStart"/>
      <w:r w:rsidRPr="002E3B0E">
        <w:t>are presented</w:t>
      </w:r>
      <w:proofErr w:type="gramEnd"/>
      <w:r w:rsidRPr="002E3B0E">
        <w:t xml:space="preserve"> in Table 2. </w:t>
      </w:r>
      <w:r w:rsidR="00E11F8A" w:rsidRPr="002E3B0E">
        <w:t>In terms of know</w:t>
      </w:r>
      <w:r w:rsidR="00F256E9">
        <w:t>led</w:t>
      </w:r>
      <w:r w:rsidR="00E11F8A" w:rsidRPr="002E3B0E">
        <w:t>ge, t</w:t>
      </w:r>
      <w:r w:rsidRPr="002E3B0E">
        <w:t>he pretest (17.75</w:t>
      </w:r>
      <w:proofErr w:type="gramStart"/>
      <w:r w:rsidRPr="002E3B0E">
        <w:t>,±</w:t>
      </w:r>
      <w:proofErr w:type="gramEnd"/>
      <w:r w:rsidRPr="002E3B0E">
        <w:t xml:space="preserve">2.27) indicates similar means in the posttest (17.60,±2.95), which indicates that the participants have above-average knowledge of COVID-19 prevention. </w:t>
      </w:r>
    </w:p>
    <w:p w14:paraId="5F01CDA5" w14:textId="0367F5E0" w:rsidR="00E11F8A" w:rsidRPr="002E3B0E" w:rsidRDefault="00E11F8A" w:rsidP="009B68B8">
      <w:pPr>
        <w:ind w:firstLine="360"/>
        <w:jc w:val="both"/>
      </w:pPr>
      <w:r w:rsidRPr="002E3B0E">
        <w:t xml:space="preserve">Moreover, regarding attitude </w:t>
      </w:r>
      <w:r w:rsidR="00F256E9">
        <w:t>toward</w:t>
      </w:r>
      <w:r w:rsidRPr="002E3B0E">
        <w:t xml:space="preserve"> COVID-19 prevention, the results indicate in the pretest (0.57</w:t>
      </w:r>
      <w:proofErr w:type="gramStart"/>
      <w:r w:rsidRPr="002E3B0E">
        <w:t>,±</w:t>
      </w:r>
      <w:proofErr w:type="gramEnd"/>
      <w:r w:rsidRPr="002E3B0E">
        <w:t xml:space="preserve">1.69) and posttest (1.69,±0.41) with an overall rating of strongly agree. The results imply that the participants were aware of the importance of vaccination, social distancing measures, following health protocols, and the essentiality of compliance with government agencies' guidelines against the spread of COVID-19 in both the pretest and posttest. </w:t>
      </w:r>
    </w:p>
    <w:p w14:paraId="5974D7A9" w14:textId="19492A3D" w:rsidR="00562E38" w:rsidRPr="00562E38" w:rsidRDefault="00F256E9" w:rsidP="009B68B8">
      <w:pPr>
        <w:ind w:firstLine="360"/>
        <w:jc w:val="both"/>
      </w:pPr>
      <w:r>
        <w:t>Regarding</w:t>
      </w:r>
      <w:r w:rsidR="00E11F8A" w:rsidRPr="002E3B0E">
        <w:t xml:space="preserve"> health practices in COVID-19 prevention, the pretest (1.75</w:t>
      </w:r>
      <w:proofErr w:type="gramStart"/>
      <w:r w:rsidR="00E11F8A" w:rsidRPr="002E3B0E">
        <w:t>,±</w:t>
      </w:r>
      <w:proofErr w:type="gramEnd"/>
      <w:r w:rsidR="00E11F8A" w:rsidRPr="002E3B0E">
        <w:t xml:space="preserve">0.97) decreased slightly in the posttest (1.66,±1.08) with a mean difference=0.09. </w:t>
      </w:r>
      <w:proofErr w:type="gramStart"/>
      <w:r w:rsidR="00E11F8A" w:rsidRPr="002E3B0E">
        <w:t>The findings show that although the participants were aware of the importance of vaccination, social distancing measures, following health protocols, and the essentiality of compliance with government agencies' guidelines against the spread of COVID-19, they were not practicing some of the health protocols to prevent the transmission of COVID-19 virus as evidenced by the low means in both the pretest and posttest.</w:t>
      </w:r>
      <w:proofErr w:type="gramEnd"/>
      <w:r w:rsidR="00E11F8A" w:rsidRPr="002E3B0E">
        <w:t xml:space="preserve"> Furthermore, </w:t>
      </w:r>
      <w:r>
        <w:t xml:space="preserve">all tests for significant differences of pretest and posttest means of knowledge </w:t>
      </w:r>
      <w:r>
        <w:rPr>
          <w:color w:val="000000" w:themeColor="text1"/>
        </w:rPr>
        <w:t>(</w:t>
      </w:r>
      <w:r>
        <w:t>p=</w:t>
      </w:r>
      <w:r>
        <w:rPr>
          <w:color w:val="000000" w:themeColor="text1"/>
        </w:rPr>
        <w:t>0.46), attitude (</w:t>
      </w:r>
      <w:r>
        <w:rPr>
          <w:rFonts w:eastAsia="Arial"/>
          <w:color w:val="000000"/>
        </w:rPr>
        <w:t>p=0.12), and practices (</w:t>
      </w:r>
      <w:r>
        <w:t>p=</w:t>
      </w:r>
      <w:r>
        <w:rPr>
          <w:rFonts w:eastAsia="Arial"/>
          <w:color w:val="000000"/>
        </w:rPr>
        <w:t>0.41) on COVID-19 prevention</w:t>
      </w:r>
      <w:r w:rsidRPr="002E3B0E">
        <w:t xml:space="preserve"> </w:t>
      </w:r>
      <w:r w:rsidR="00E11F8A" w:rsidRPr="002E3B0E">
        <w:t>indicate no significant difference in the pretest and posttest results</w:t>
      </w:r>
      <w:r w:rsidR="00144615">
        <w:t>.</w:t>
      </w:r>
    </w:p>
    <w:p w14:paraId="0BE32E6B" w14:textId="594D575C" w:rsidR="00562E38" w:rsidRPr="00562E38" w:rsidRDefault="00562E38" w:rsidP="00562E38">
      <w:pPr>
        <w:ind w:left="360"/>
        <w:jc w:val="both"/>
        <w:rPr>
          <w:b/>
          <w:color w:val="000000" w:themeColor="text1"/>
        </w:rPr>
      </w:pPr>
    </w:p>
    <w:tbl>
      <w:tblPr>
        <w:tblStyle w:val="TableGrid"/>
        <w:tblW w:w="9008" w:type="dxa"/>
        <w:tblInd w:w="-5" w:type="dxa"/>
        <w:tblLook w:val="04A0" w:firstRow="1" w:lastRow="0" w:firstColumn="1" w:lastColumn="0" w:noHBand="0" w:noVBand="1"/>
      </w:tblPr>
      <w:tblGrid>
        <w:gridCol w:w="2185"/>
        <w:gridCol w:w="1543"/>
        <w:gridCol w:w="1440"/>
        <w:gridCol w:w="1669"/>
        <w:gridCol w:w="2171"/>
      </w:tblGrid>
      <w:tr w:rsidR="00FC212B" w:rsidRPr="00562E38" w14:paraId="2215C2E2" w14:textId="77777777" w:rsidTr="004A11B3">
        <w:trPr>
          <w:trHeight w:val="215"/>
        </w:trPr>
        <w:tc>
          <w:tcPr>
            <w:tcW w:w="9008" w:type="dxa"/>
            <w:gridSpan w:val="5"/>
            <w:tcBorders>
              <w:top w:val="nil"/>
              <w:left w:val="nil"/>
              <w:bottom w:val="single" w:sz="4" w:space="0" w:color="auto"/>
              <w:right w:val="nil"/>
            </w:tcBorders>
            <w:shd w:val="clear" w:color="auto" w:fill="auto"/>
          </w:tcPr>
          <w:p w14:paraId="35FC109A" w14:textId="05713B55" w:rsidR="00FC212B" w:rsidRPr="00562E38" w:rsidRDefault="00FC212B" w:rsidP="00D00944">
            <w:pPr>
              <w:ind w:left="360"/>
              <w:rPr>
                <w:color w:val="000000" w:themeColor="text1"/>
              </w:rPr>
            </w:pPr>
            <w:r w:rsidRPr="00562E38">
              <w:rPr>
                <w:color w:val="000000" w:themeColor="text1"/>
              </w:rPr>
              <w:t>Table 2. Pretest and Posttest Means of Knowledge</w:t>
            </w:r>
            <w:r>
              <w:rPr>
                <w:color w:val="000000" w:themeColor="text1"/>
              </w:rPr>
              <w:t>, Attitude, and Practices</w:t>
            </w:r>
            <w:r w:rsidRPr="00562E38">
              <w:rPr>
                <w:color w:val="000000" w:themeColor="text1"/>
              </w:rPr>
              <w:t xml:space="preserve"> on COVID-19 Prevention</w:t>
            </w:r>
          </w:p>
        </w:tc>
      </w:tr>
      <w:tr w:rsidR="00D00944" w:rsidRPr="00562E38" w14:paraId="15C04AA7" w14:textId="77777777" w:rsidTr="004A11B3">
        <w:trPr>
          <w:trHeight w:val="266"/>
        </w:trPr>
        <w:tc>
          <w:tcPr>
            <w:tcW w:w="9008" w:type="dxa"/>
            <w:gridSpan w:val="5"/>
            <w:tcBorders>
              <w:left w:val="nil"/>
              <w:bottom w:val="single" w:sz="4" w:space="0" w:color="auto"/>
              <w:right w:val="nil"/>
            </w:tcBorders>
            <w:shd w:val="clear" w:color="auto" w:fill="auto"/>
          </w:tcPr>
          <w:p w14:paraId="64E3E475" w14:textId="747214E8" w:rsidR="00D00944" w:rsidRPr="00BF6566" w:rsidRDefault="00D00944" w:rsidP="00562E38">
            <w:pPr>
              <w:ind w:left="360"/>
              <w:jc w:val="both"/>
              <w:rPr>
                <w:b/>
                <w:color w:val="000000" w:themeColor="text1"/>
              </w:rPr>
            </w:pPr>
            <w:r w:rsidRPr="00BF6566">
              <w:rPr>
                <w:b/>
                <w:color w:val="000000" w:themeColor="text1"/>
              </w:rPr>
              <w:t>Knowledge of COVID-19 Prevention</w:t>
            </w:r>
          </w:p>
        </w:tc>
      </w:tr>
      <w:tr w:rsidR="00613466" w:rsidRPr="00562E38" w14:paraId="07405B2B" w14:textId="77777777" w:rsidTr="004A11B3">
        <w:trPr>
          <w:trHeight w:val="270"/>
        </w:trPr>
        <w:tc>
          <w:tcPr>
            <w:tcW w:w="2185" w:type="dxa"/>
            <w:tcBorders>
              <w:top w:val="single" w:sz="4" w:space="0" w:color="auto"/>
              <w:left w:val="nil"/>
              <w:bottom w:val="nil"/>
              <w:right w:val="nil"/>
            </w:tcBorders>
            <w:shd w:val="clear" w:color="auto" w:fill="auto"/>
          </w:tcPr>
          <w:p w14:paraId="070D3140" w14:textId="77777777" w:rsidR="00613466" w:rsidRPr="00562E38" w:rsidRDefault="00613466" w:rsidP="00613466">
            <w:pPr>
              <w:ind w:left="360"/>
              <w:rPr>
                <w:color w:val="000000" w:themeColor="text1"/>
              </w:rPr>
            </w:pPr>
          </w:p>
        </w:tc>
        <w:tc>
          <w:tcPr>
            <w:tcW w:w="1543" w:type="dxa"/>
            <w:tcBorders>
              <w:top w:val="single" w:sz="4" w:space="0" w:color="auto"/>
              <w:left w:val="nil"/>
              <w:bottom w:val="nil"/>
              <w:right w:val="nil"/>
            </w:tcBorders>
            <w:shd w:val="clear" w:color="auto" w:fill="auto"/>
          </w:tcPr>
          <w:p w14:paraId="20271C86" w14:textId="2A4CA591" w:rsidR="00613466" w:rsidRPr="00BF6566" w:rsidRDefault="00613466" w:rsidP="00613466">
            <w:pPr>
              <w:ind w:left="360"/>
              <w:jc w:val="both"/>
            </w:pPr>
            <w:r w:rsidRPr="00BF6566">
              <w:rPr>
                <w:color w:val="000000" w:themeColor="text1"/>
              </w:rPr>
              <w:t>Means</w:t>
            </w:r>
          </w:p>
        </w:tc>
        <w:tc>
          <w:tcPr>
            <w:tcW w:w="1440" w:type="dxa"/>
            <w:tcBorders>
              <w:top w:val="single" w:sz="4" w:space="0" w:color="auto"/>
              <w:left w:val="nil"/>
              <w:bottom w:val="nil"/>
              <w:right w:val="nil"/>
            </w:tcBorders>
            <w:shd w:val="clear" w:color="auto" w:fill="auto"/>
          </w:tcPr>
          <w:p w14:paraId="177E03F8" w14:textId="597866F1" w:rsidR="00613466" w:rsidRPr="00BF6566" w:rsidRDefault="00613466" w:rsidP="00613466">
            <w:pPr>
              <w:ind w:left="360"/>
              <w:jc w:val="both"/>
            </w:pPr>
            <w:r w:rsidRPr="00BF6566">
              <w:rPr>
                <w:color w:val="000000" w:themeColor="text1"/>
              </w:rPr>
              <w:t>SD</w:t>
            </w:r>
          </w:p>
        </w:tc>
        <w:tc>
          <w:tcPr>
            <w:tcW w:w="1669" w:type="dxa"/>
            <w:tcBorders>
              <w:top w:val="single" w:sz="4" w:space="0" w:color="auto"/>
              <w:left w:val="nil"/>
              <w:bottom w:val="nil"/>
              <w:right w:val="nil"/>
            </w:tcBorders>
            <w:shd w:val="clear" w:color="auto" w:fill="auto"/>
          </w:tcPr>
          <w:p w14:paraId="586AF8EA" w14:textId="7B121F63" w:rsidR="00613466" w:rsidRPr="00BF6566" w:rsidRDefault="00613466" w:rsidP="00613466">
            <w:pPr>
              <w:ind w:left="360"/>
              <w:jc w:val="both"/>
              <w:rPr>
                <w:color w:val="000000" w:themeColor="text1"/>
              </w:rPr>
            </w:pPr>
            <w:r w:rsidRPr="00BF6566">
              <w:rPr>
                <w:color w:val="000000" w:themeColor="text1"/>
              </w:rPr>
              <w:t>t-value</w:t>
            </w:r>
          </w:p>
        </w:tc>
        <w:tc>
          <w:tcPr>
            <w:tcW w:w="2171" w:type="dxa"/>
            <w:tcBorders>
              <w:top w:val="single" w:sz="4" w:space="0" w:color="auto"/>
              <w:left w:val="nil"/>
              <w:bottom w:val="nil"/>
              <w:right w:val="nil"/>
            </w:tcBorders>
            <w:shd w:val="clear" w:color="auto" w:fill="auto"/>
          </w:tcPr>
          <w:p w14:paraId="1ADC0F36" w14:textId="014B1221" w:rsidR="00613466" w:rsidRPr="00BF6566" w:rsidRDefault="00613466" w:rsidP="00613466">
            <w:pPr>
              <w:ind w:left="360"/>
              <w:jc w:val="both"/>
              <w:rPr>
                <w:color w:val="000000" w:themeColor="text1"/>
              </w:rPr>
            </w:pPr>
            <w:r w:rsidRPr="00BF6566">
              <w:rPr>
                <w:color w:val="000000" w:themeColor="text1"/>
              </w:rPr>
              <w:t>p-value</w:t>
            </w:r>
          </w:p>
        </w:tc>
      </w:tr>
      <w:tr w:rsidR="00562E38" w:rsidRPr="00562E38" w14:paraId="57E2AD7D" w14:textId="77777777" w:rsidTr="004A11B3">
        <w:trPr>
          <w:trHeight w:val="273"/>
        </w:trPr>
        <w:tc>
          <w:tcPr>
            <w:tcW w:w="2185" w:type="dxa"/>
            <w:tcBorders>
              <w:top w:val="nil"/>
              <w:left w:val="nil"/>
              <w:bottom w:val="nil"/>
              <w:right w:val="nil"/>
            </w:tcBorders>
            <w:shd w:val="clear" w:color="auto" w:fill="auto"/>
          </w:tcPr>
          <w:p w14:paraId="7E4E35DF" w14:textId="77777777" w:rsidR="00562E38" w:rsidRPr="00562E38" w:rsidRDefault="00562E38" w:rsidP="00D00944">
            <w:pPr>
              <w:ind w:left="360"/>
              <w:rPr>
                <w:color w:val="000000" w:themeColor="text1"/>
              </w:rPr>
            </w:pPr>
            <w:r w:rsidRPr="00562E38">
              <w:rPr>
                <w:color w:val="000000" w:themeColor="text1"/>
              </w:rPr>
              <w:t>Pretest</w:t>
            </w:r>
          </w:p>
        </w:tc>
        <w:tc>
          <w:tcPr>
            <w:tcW w:w="1543" w:type="dxa"/>
            <w:tcBorders>
              <w:top w:val="nil"/>
              <w:left w:val="nil"/>
              <w:bottom w:val="nil"/>
              <w:right w:val="nil"/>
            </w:tcBorders>
            <w:shd w:val="clear" w:color="auto" w:fill="auto"/>
          </w:tcPr>
          <w:p w14:paraId="1975B43C" w14:textId="77777777" w:rsidR="00562E38" w:rsidRPr="00562E38" w:rsidRDefault="00562E38" w:rsidP="00562E38">
            <w:pPr>
              <w:ind w:left="360"/>
              <w:jc w:val="both"/>
            </w:pPr>
            <w:r w:rsidRPr="00562E38">
              <w:t>17.75</w:t>
            </w:r>
          </w:p>
        </w:tc>
        <w:tc>
          <w:tcPr>
            <w:tcW w:w="1440" w:type="dxa"/>
            <w:tcBorders>
              <w:top w:val="nil"/>
              <w:left w:val="nil"/>
              <w:bottom w:val="nil"/>
              <w:right w:val="nil"/>
            </w:tcBorders>
            <w:shd w:val="clear" w:color="auto" w:fill="auto"/>
          </w:tcPr>
          <w:p w14:paraId="53901DF7" w14:textId="77777777" w:rsidR="00562E38" w:rsidRPr="00562E38" w:rsidRDefault="00562E38" w:rsidP="00562E38">
            <w:pPr>
              <w:ind w:left="360"/>
              <w:jc w:val="both"/>
            </w:pPr>
            <w:r w:rsidRPr="00562E38">
              <w:t>±2.27</w:t>
            </w:r>
          </w:p>
        </w:tc>
        <w:tc>
          <w:tcPr>
            <w:tcW w:w="1669" w:type="dxa"/>
            <w:tcBorders>
              <w:top w:val="nil"/>
              <w:left w:val="nil"/>
              <w:bottom w:val="nil"/>
              <w:right w:val="nil"/>
            </w:tcBorders>
            <w:shd w:val="clear" w:color="auto" w:fill="auto"/>
          </w:tcPr>
          <w:p w14:paraId="5ADA6119" w14:textId="77777777" w:rsidR="00562E38" w:rsidRPr="00562E38" w:rsidRDefault="00562E38" w:rsidP="00562E38">
            <w:pPr>
              <w:ind w:left="360"/>
              <w:jc w:val="both"/>
              <w:rPr>
                <w:color w:val="000000" w:themeColor="text1"/>
              </w:rPr>
            </w:pPr>
            <w:r w:rsidRPr="00562E38">
              <w:rPr>
                <w:color w:val="000000" w:themeColor="text1"/>
              </w:rPr>
              <w:t>0.75</w:t>
            </w:r>
          </w:p>
        </w:tc>
        <w:tc>
          <w:tcPr>
            <w:tcW w:w="2171" w:type="dxa"/>
            <w:tcBorders>
              <w:top w:val="nil"/>
              <w:left w:val="nil"/>
              <w:bottom w:val="nil"/>
              <w:right w:val="nil"/>
            </w:tcBorders>
            <w:shd w:val="clear" w:color="auto" w:fill="auto"/>
          </w:tcPr>
          <w:p w14:paraId="06CBEA28" w14:textId="77777777" w:rsidR="00562E38" w:rsidRPr="00562E38" w:rsidRDefault="00562E38" w:rsidP="00562E38">
            <w:pPr>
              <w:ind w:left="360"/>
              <w:jc w:val="both"/>
              <w:rPr>
                <w:color w:val="000000" w:themeColor="text1"/>
              </w:rPr>
            </w:pPr>
            <w:r w:rsidRPr="00562E38">
              <w:rPr>
                <w:color w:val="000000" w:themeColor="text1"/>
              </w:rPr>
              <w:t>0.46</w:t>
            </w:r>
          </w:p>
        </w:tc>
      </w:tr>
      <w:tr w:rsidR="00562E38" w:rsidRPr="00562E38" w14:paraId="3C34FA81" w14:textId="77777777" w:rsidTr="004A11B3">
        <w:trPr>
          <w:trHeight w:val="266"/>
        </w:trPr>
        <w:tc>
          <w:tcPr>
            <w:tcW w:w="2185" w:type="dxa"/>
            <w:tcBorders>
              <w:top w:val="nil"/>
              <w:left w:val="nil"/>
              <w:bottom w:val="single" w:sz="4" w:space="0" w:color="auto"/>
              <w:right w:val="nil"/>
            </w:tcBorders>
            <w:shd w:val="clear" w:color="auto" w:fill="auto"/>
          </w:tcPr>
          <w:p w14:paraId="2E266DA7" w14:textId="77777777" w:rsidR="00562E38" w:rsidRPr="00562E38" w:rsidRDefault="00562E38" w:rsidP="00D00944">
            <w:pPr>
              <w:ind w:left="360"/>
              <w:rPr>
                <w:color w:val="000000" w:themeColor="text1"/>
              </w:rPr>
            </w:pPr>
            <w:r w:rsidRPr="00562E38">
              <w:rPr>
                <w:color w:val="000000" w:themeColor="text1"/>
              </w:rPr>
              <w:t>Post-test</w:t>
            </w:r>
          </w:p>
        </w:tc>
        <w:tc>
          <w:tcPr>
            <w:tcW w:w="1543" w:type="dxa"/>
            <w:tcBorders>
              <w:top w:val="nil"/>
              <w:left w:val="nil"/>
              <w:bottom w:val="single" w:sz="4" w:space="0" w:color="auto"/>
              <w:right w:val="nil"/>
            </w:tcBorders>
            <w:shd w:val="clear" w:color="auto" w:fill="auto"/>
          </w:tcPr>
          <w:p w14:paraId="13495FF6" w14:textId="77777777" w:rsidR="00562E38" w:rsidRPr="00562E38" w:rsidRDefault="00562E38" w:rsidP="00562E38">
            <w:pPr>
              <w:ind w:left="360"/>
              <w:jc w:val="both"/>
            </w:pPr>
            <w:r w:rsidRPr="00562E38">
              <w:t>17.60</w:t>
            </w:r>
          </w:p>
        </w:tc>
        <w:tc>
          <w:tcPr>
            <w:tcW w:w="1440" w:type="dxa"/>
            <w:tcBorders>
              <w:top w:val="nil"/>
              <w:left w:val="nil"/>
              <w:bottom w:val="single" w:sz="4" w:space="0" w:color="auto"/>
              <w:right w:val="nil"/>
            </w:tcBorders>
            <w:shd w:val="clear" w:color="auto" w:fill="auto"/>
          </w:tcPr>
          <w:p w14:paraId="00F30E01" w14:textId="77777777" w:rsidR="00562E38" w:rsidRPr="00562E38" w:rsidRDefault="00562E38" w:rsidP="00562E38">
            <w:pPr>
              <w:ind w:left="360"/>
              <w:jc w:val="both"/>
            </w:pPr>
            <w:r w:rsidRPr="00562E38">
              <w:t>±2.95</w:t>
            </w:r>
          </w:p>
        </w:tc>
        <w:tc>
          <w:tcPr>
            <w:tcW w:w="1669" w:type="dxa"/>
            <w:tcBorders>
              <w:top w:val="nil"/>
              <w:left w:val="nil"/>
              <w:bottom w:val="single" w:sz="4" w:space="0" w:color="auto"/>
              <w:right w:val="nil"/>
            </w:tcBorders>
            <w:shd w:val="clear" w:color="auto" w:fill="auto"/>
          </w:tcPr>
          <w:p w14:paraId="076CE13B" w14:textId="77777777" w:rsidR="00562E38" w:rsidRPr="00562E38" w:rsidRDefault="00562E38" w:rsidP="00562E38">
            <w:pPr>
              <w:ind w:left="360"/>
              <w:jc w:val="both"/>
              <w:rPr>
                <w:color w:val="000000" w:themeColor="text1"/>
              </w:rPr>
            </w:pPr>
          </w:p>
        </w:tc>
        <w:tc>
          <w:tcPr>
            <w:tcW w:w="2171" w:type="dxa"/>
            <w:tcBorders>
              <w:top w:val="nil"/>
              <w:left w:val="nil"/>
              <w:bottom w:val="single" w:sz="4" w:space="0" w:color="auto"/>
              <w:right w:val="nil"/>
            </w:tcBorders>
            <w:shd w:val="clear" w:color="auto" w:fill="auto"/>
          </w:tcPr>
          <w:p w14:paraId="770955FE" w14:textId="77777777" w:rsidR="00562E38" w:rsidRPr="00562E38" w:rsidRDefault="00562E38" w:rsidP="00562E38">
            <w:pPr>
              <w:ind w:left="360"/>
              <w:jc w:val="both"/>
              <w:rPr>
                <w:color w:val="000000" w:themeColor="text1"/>
              </w:rPr>
            </w:pPr>
          </w:p>
        </w:tc>
      </w:tr>
      <w:tr w:rsidR="00D00944" w:rsidRPr="00562E38" w14:paraId="774ACA63" w14:textId="77777777" w:rsidTr="004A11B3">
        <w:trPr>
          <w:trHeight w:val="266"/>
        </w:trPr>
        <w:tc>
          <w:tcPr>
            <w:tcW w:w="9008" w:type="dxa"/>
            <w:gridSpan w:val="5"/>
            <w:tcBorders>
              <w:top w:val="single" w:sz="4" w:space="0" w:color="auto"/>
              <w:left w:val="nil"/>
              <w:bottom w:val="single" w:sz="4" w:space="0" w:color="auto"/>
              <w:right w:val="nil"/>
            </w:tcBorders>
            <w:shd w:val="clear" w:color="auto" w:fill="auto"/>
          </w:tcPr>
          <w:p w14:paraId="50CA2DC5" w14:textId="2336CF20" w:rsidR="00D00944" w:rsidRPr="00BF6566" w:rsidRDefault="00D00944" w:rsidP="00D00944">
            <w:pPr>
              <w:ind w:left="360"/>
              <w:jc w:val="both"/>
              <w:rPr>
                <w:b/>
                <w:color w:val="000000" w:themeColor="text1"/>
              </w:rPr>
            </w:pPr>
            <w:r w:rsidRPr="00BF6566">
              <w:rPr>
                <w:b/>
                <w:color w:val="000000" w:themeColor="text1"/>
              </w:rPr>
              <w:t>Attitude on COVID-19 Prevention</w:t>
            </w:r>
          </w:p>
        </w:tc>
      </w:tr>
      <w:tr w:rsidR="00D00944" w:rsidRPr="00562E38" w14:paraId="26B43E15" w14:textId="77777777" w:rsidTr="004A11B3">
        <w:trPr>
          <w:trHeight w:val="266"/>
        </w:trPr>
        <w:tc>
          <w:tcPr>
            <w:tcW w:w="2185" w:type="dxa"/>
            <w:tcBorders>
              <w:top w:val="single" w:sz="4" w:space="0" w:color="auto"/>
              <w:left w:val="nil"/>
              <w:bottom w:val="nil"/>
              <w:right w:val="nil"/>
            </w:tcBorders>
            <w:shd w:val="clear" w:color="auto" w:fill="auto"/>
          </w:tcPr>
          <w:p w14:paraId="0B43206B" w14:textId="7D2649A4" w:rsidR="00D00944" w:rsidRPr="00562E38" w:rsidRDefault="00D00944" w:rsidP="00D00944">
            <w:pPr>
              <w:ind w:left="360"/>
              <w:rPr>
                <w:color w:val="000000" w:themeColor="text1"/>
              </w:rPr>
            </w:pPr>
          </w:p>
        </w:tc>
        <w:tc>
          <w:tcPr>
            <w:tcW w:w="1543" w:type="dxa"/>
            <w:tcBorders>
              <w:top w:val="single" w:sz="4" w:space="0" w:color="auto"/>
              <w:left w:val="nil"/>
              <w:bottom w:val="nil"/>
              <w:right w:val="nil"/>
            </w:tcBorders>
            <w:shd w:val="clear" w:color="auto" w:fill="auto"/>
          </w:tcPr>
          <w:p w14:paraId="293F6471" w14:textId="2A5C0F31" w:rsidR="00D00944" w:rsidRPr="00562E38" w:rsidRDefault="00D00944" w:rsidP="00D00944">
            <w:pPr>
              <w:ind w:left="360"/>
              <w:jc w:val="both"/>
            </w:pPr>
            <w:r w:rsidRPr="00562E38">
              <w:rPr>
                <w:color w:val="000000" w:themeColor="text1"/>
              </w:rPr>
              <w:t>Means</w:t>
            </w:r>
          </w:p>
        </w:tc>
        <w:tc>
          <w:tcPr>
            <w:tcW w:w="1440" w:type="dxa"/>
            <w:tcBorders>
              <w:top w:val="single" w:sz="4" w:space="0" w:color="auto"/>
              <w:left w:val="nil"/>
              <w:bottom w:val="nil"/>
              <w:right w:val="nil"/>
            </w:tcBorders>
            <w:shd w:val="clear" w:color="auto" w:fill="auto"/>
          </w:tcPr>
          <w:p w14:paraId="7FFD0608" w14:textId="28BF816D" w:rsidR="00D00944" w:rsidRPr="00562E38" w:rsidRDefault="00D00944" w:rsidP="00D00944">
            <w:pPr>
              <w:ind w:left="360"/>
              <w:jc w:val="both"/>
            </w:pPr>
            <w:r w:rsidRPr="00562E38">
              <w:rPr>
                <w:color w:val="000000" w:themeColor="text1"/>
              </w:rPr>
              <w:t>SD</w:t>
            </w:r>
          </w:p>
        </w:tc>
        <w:tc>
          <w:tcPr>
            <w:tcW w:w="1669" w:type="dxa"/>
            <w:tcBorders>
              <w:top w:val="single" w:sz="4" w:space="0" w:color="auto"/>
              <w:left w:val="nil"/>
              <w:bottom w:val="nil"/>
              <w:right w:val="nil"/>
            </w:tcBorders>
            <w:shd w:val="clear" w:color="auto" w:fill="auto"/>
          </w:tcPr>
          <w:p w14:paraId="28DD6FF2" w14:textId="55D4F608" w:rsidR="00D00944" w:rsidRPr="00562E38" w:rsidRDefault="00D00944" w:rsidP="00D00944">
            <w:pPr>
              <w:ind w:left="360"/>
              <w:jc w:val="both"/>
              <w:rPr>
                <w:color w:val="000000" w:themeColor="text1"/>
              </w:rPr>
            </w:pPr>
            <w:r w:rsidRPr="00562E38">
              <w:rPr>
                <w:color w:val="000000" w:themeColor="text1"/>
              </w:rPr>
              <w:t>t-value</w:t>
            </w:r>
          </w:p>
        </w:tc>
        <w:tc>
          <w:tcPr>
            <w:tcW w:w="2171" w:type="dxa"/>
            <w:tcBorders>
              <w:top w:val="single" w:sz="4" w:space="0" w:color="auto"/>
              <w:left w:val="nil"/>
              <w:bottom w:val="nil"/>
              <w:right w:val="nil"/>
            </w:tcBorders>
            <w:shd w:val="clear" w:color="auto" w:fill="auto"/>
          </w:tcPr>
          <w:p w14:paraId="521C6750" w14:textId="65EF7D07" w:rsidR="00D00944" w:rsidRPr="00562E38" w:rsidRDefault="00D00944" w:rsidP="00D00944">
            <w:pPr>
              <w:ind w:left="360"/>
              <w:jc w:val="both"/>
              <w:rPr>
                <w:color w:val="000000" w:themeColor="text1"/>
              </w:rPr>
            </w:pPr>
            <w:r w:rsidRPr="00562E38">
              <w:rPr>
                <w:color w:val="000000" w:themeColor="text1"/>
              </w:rPr>
              <w:t>p-value</w:t>
            </w:r>
          </w:p>
        </w:tc>
      </w:tr>
      <w:tr w:rsidR="00D00944" w:rsidRPr="00562E38" w14:paraId="3B728055" w14:textId="77777777" w:rsidTr="004A11B3">
        <w:trPr>
          <w:trHeight w:val="266"/>
        </w:trPr>
        <w:tc>
          <w:tcPr>
            <w:tcW w:w="2185" w:type="dxa"/>
            <w:tcBorders>
              <w:top w:val="nil"/>
              <w:left w:val="nil"/>
              <w:bottom w:val="nil"/>
              <w:right w:val="nil"/>
            </w:tcBorders>
            <w:shd w:val="clear" w:color="auto" w:fill="auto"/>
          </w:tcPr>
          <w:p w14:paraId="6BBE732F" w14:textId="2F9C5381" w:rsidR="00D00944" w:rsidRPr="00562E38" w:rsidRDefault="00D00944" w:rsidP="00D00944">
            <w:pPr>
              <w:ind w:left="360"/>
              <w:rPr>
                <w:color w:val="000000" w:themeColor="text1"/>
              </w:rPr>
            </w:pPr>
            <w:r w:rsidRPr="00562E38">
              <w:rPr>
                <w:color w:val="000000" w:themeColor="text1"/>
              </w:rPr>
              <w:t>Pretest</w:t>
            </w:r>
          </w:p>
        </w:tc>
        <w:tc>
          <w:tcPr>
            <w:tcW w:w="1543" w:type="dxa"/>
            <w:tcBorders>
              <w:top w:val="nil"/>
              <w:left w:val="nil"/>
              <w:bottom w:val="nil"/>
              <w:right w:val="nil"/>
            </w:tcBorders>
            <w:shd w:val="clear" w:color="auto" w:fill="auto"/>
          </w:tcPr>
          <w:p w14:paraId="0455BDD3" w14:textId="1B3C4D2A" w:rsidR="00D00944" w:rsidRPr="00562E38" w:rsidRDefault="00D00944" w:rsidP="00D00944">
            <w:pPr>
              <w:ind w:left="360"/>
              <w:jc w:val="both"/>
            </w:pPr>
            <w:r w:rsidRPr="00562E38">
              <w:rPr>
                <w:rFonts w:eastAsia="Arial"/>
                <w:color w:val="000000"/>
              </w:rPr>
              <w:t>0.57</w:t>
            </w:r>
          </w:p>
        </w:tc>
        <w:tc>
          <w:tcPr>
            <w:tcW w:w="1440" w:type="dxa"/>
            <w:tcBorders>
              <w:top w:val="nil"/>
              <w:left w:val="nil"/>
              <w:bottom w:val="nil"/>
              <w:right w:val="nil"/>
            </w:tcBorders>
            <w:shd w:val="clear" w:color="auto" w:fill="auto"/>
          </w:tcPr>
          <w:p w14:paraId="686002EB" w14:textId="7368FACE" w:rsidR="00D00944" w:rsidRPr="00562E38" w:rsidRDefault="00D00944" w:rsidP="00D00944">
            <w:pPr>
              <w:ind w:left="360"/>
              <w:jc w:val="both"/>
            </w:pPr>
            <w:r w:rsidRPr="00562E38">
              <w:t>±</w:t>
            </w:r>
            <w:r w:rsidRPr="00562E38">
              <w:rPr>
                <w:rFonts w:eastAsia="Arial"/>
                <w:color w:val="000000"/>
              </w:rPr>
              <w:t>0.42</w:t>
            </w:r>
          </w:p>
        </w:tc>
        <w:tc>
          <w:tcPr>
            <w:tcW w:w="1669" w:type="dxa"/>
            <w:tcBorders>
              <w:top w:val="nil"/>
              <w:left w:val="nil"/>
              <w:bottom w:val="nil"/>
              <w:right w:val="nil"/>
            </w:tcBorders>
            <w:shd w:val="clear" w:color="auto" w:fill="auto"/>
          </w:tcPr>
          <w:p w14:paraId="465CE536" w14:textId="1D6A93AB" w:rsidR="00D00944" w:rsidRPr="00562E38" w:rsidRDefault="00D00944" w:rsidP="00D00944">
            <w:pPr>
              <w:ind w:left="360"/>
              <w:jc w:val="both"/>
              <w:rPr>
                <w:color w:val="000000" w:themeColor="text1"/>
              </w:rPr>
            </w:pPr>
            <w:r w:rsidRPr="00562E38">
              <w:rPr>
                <w:rFonts w:eastAsia="Arial"/>
                <w:color w:val="000000"/>
              </w:rPr>
              <w:t>1.55</w:t>
            </w:r>
          </w:p>
        </w:tc>
        <w:tc>
          <w:tcPr>
            <w:tcW w:w="2171" w:type="dxa"/>
            <w:tcBorders>
              <w:top w:val="nil"/>
              <w:left w:val="nil"/>
              <w:bottom w:val="nil"/>
              <w:right w:val="nil"/>
            </w:tcBorders>
            <w:shd w:val="clear" w:color="auto" w:fill="auto"/>
          </w:tcPr>
          <w:p w14:paraId="74D21B69" w14:textId="1CAFD114" w:rsidR="00D00944" w:rsidRPr="00562E38" w:rsidRDefault="00D00944" w:rsidP="00D00944">
            <w:pPr>
              <w:ind w:left="360"/>
              <w:jc w:val="both"/>
              <w:rPr>
                <w:color w:val="000000" w:themeColor="text1"/>
              </w:rPr>
            </w:pPr>
            <w:r w:rsidRPr="00562E38">
              <w:rPr>
                <w:rFonts w:eastAsia="Arial"/>
                <w:color w:val="000000"/>
              </w:rPr>
              <w:t>0.12</w:t>
            </w:r>
          </w:p>
        </w:tc>
      </w:tr>
      <w:tr w:rsidR="00D00944" w:rsidRPr="00562E38" w14:paraId="1DD40720" w14:textId="77777777" w:rsidTr="007E7E25">
        <w:trPr>
          <w:trHeight w:val="266"/>
        </w:trPr>
        <w:tc>
          <w:tcPr>
            <w:tcW w:w="2185" w:type="dxa"/>
            <w:tcBorders>
              <w:top w:val="nil"/>
              <w:left w:val="nil"/>
              <w:bottom w:val="single" w:sz="4" w:space="0" w:color="auto"/>
              <w:right w:val="nil"/>
            </w:tcBorders>
            <w:shd w:val="clear" w:color="auto" w:fill="auto"/>
          </w:tcPr>
          <w:p w14:paraId="32B21A04" w14:textId="1FF4AA75" w:rsidR="00D00944" w:rsidRPr="00562E38" w:rsidRDefault="00D00944" w:rsidP="00D00944">
            <w:pPr>
              <w:ind w:left="360"/>
              <w:rPr>
                <w:color w:val="000000" w:themeColor="text1"/>
              </w:rPr>
            </w:pPr>
            <w:r w:rsidRPr="00562E38">
              <w:rPr>
                <w:color w:val="000000" w:themeColor="text1"/>
              </w:rPr>
              <w:t>Post-test</w:t>
            </w:r>
          </w:p>
        </w:tc>
        <w:tc>
          <w:tcPr>
            <w:tcW w:w="1543" w:type="dxa"/>
            <w:tcBorders>
              <w:top w:val="nil"/>
              <w:left w:val="nil"/>
              <w:bottom w:val="single" w:sz="4" w:space="0" w:color="auto"/>
              <w:right w:val="nil"/>
            </w:tcBorders>
            <w:shd w:val="clear" w:color="auto" w:fill="auto"/>
          </w:tcPr>
          <w:p w14:paraId="759CDCD3" w14:textId="083C1B35" w:rsidR="00D00944" w:rsidRPr="00562E38" w:rsidRDefault="00D00944" w:rsidP="00D00944">
            <w:pPr>
              <w:ind w:left="360"/>
              <w:jc w:val="both"/>
            </w:pPr>
            <w:r w:rsidRPr="00562E38">
              <w:rPr>
                <w:rFonts w:eastAsia="Arial"/>
                <w:color w:val="000000"/>
              </w:rPr>
              <w:t>1.69</w:t>
            </w:r>
          </w:p>
        </w:tc>
        <w:tc>
          <w:tcPr>
            <w:tcW w:w="1440" w:type="dxa"/>
            <w:tcBorders>
              <w:top w:val="nil"/>
              <w:left w:val="nil"/>
              <w:bottom w:val="single" w:sz="4" w:space="0" w:color="auto"/>
              <w:right w:val="nil"/>
            </w:tcBorders>
            <w:shd w:val="clear" w:color="auto" w:fill="auto"/>
          </w:tcPr>
          <w:p w14:paraId="1DD06E89" w14:textId="04EC656C" w:rsidR="00D00944" w:rsidRPr="00562E38" w:rsidRDefault="00D00944" w:rsidP="00D00944">
            <w:pPr>
              <w:ind w:left="360"/>
              <w:jc w:val="both"/>
            </w:pPr>
            <w:r w:rsidRPr="00562E38">
              <w:t>±</w:t>
            </w:r>
            <w:r w:rsidRPr="00562E38">
              <w:rPr>
                <w:rFonts w:eastAsia="Arial"/>
                <w:color w:val="000000"/>
              </w:rPr>
              <w:t>0.41</w:t>
            </w:r>
          </w:p>
        </w:tc>
        <w:tc>
          <w:tcPr>
            <w:tcW w:w="1669" w:type="dxa"/>
            <w:tcBorders>
              <w:top w:val="nil"/>
              <w:left w:val="nil"/>
              <w:bottom w:val="single" w:sz="4" w:space="0" w:color="auto"/>
              <w:right w:val="nil"/>
            </w:tcBorders>
            <w:shd w:val="clear" w:color="auto" w:fill="auto"/>
          </w:tcPr>
          <w:p w14:paraId="602D3630" w14:textId="77777777" w:rsidR="00D00944" w:rsidRPr="00562E38" w:rsidRDefault="00D00944" w:rsidP="00D00944">
            <w:pPr>
              <w:ind w:left="360"/>
              <w:jc w:val="both"/>
              <w:rPr>
                <w:color w:val="000000" w:themeColor="text1"/>
              </w:rPr>
            </w:pPr>
          </w:p>
        </w:tc>
        <w:tc>
          <w:tcPr>
            <w:tcW w:w="2171" w:type="dxa"/>
            <w:tcBorders>
              <w:top w:val="nil"/>
              <w:left w:val="nil"/>
              <w:bottom w:val="single" w:sz="4" w:space="0" w:color="auto"/>
              <w:right w:val="nil"/>
            </w:tcBorders>
            <w:shd w:val="clear" w:color="auto" w:fill="auto"/>
          </w:tcPr>
          <w:p w14:paraId="4184C706" w14:textId="77777777" w:rsidR="00D00944" w:rsidRPr="00562E38" w:rsidRDefault="00D00944" w:rsidP="00D00944">
            <w:pPr>
              <w:ind w:left="360"/>
              <w:jc w:val="both"/>
              <w:rPr>
                <w:color w:val="000000" w:themeColor="text1"/>
              </w:rPr>
            </w:pPr>
          </w:p>
        </w:tc>
      </w:tr>
      <w:tr w:rsidR="00764AAB" w:rsidRPr="00562E38" w14:paraId="7465A7A0" w14:textId="77777777" w:rsidTr="007E7E25">
        <w:trPr>
          <w:trHeight w:val="266"/>
        </w:trPr>
        <w:tc>
          <w:tcPr>
            <w:tcW w:w="9008" w:type="dxa"/>
            <w:gridSpan w:val="5"/>
            <w:tcBorders>
              <w:top w:val="single" w:sz="4" w:space="0" w:color="auto"/>
              <w:left w:val="nil"/>
              <w:bottom w:val="single" w:sz="4" w:space="0" w:color="auto"/>
              <w:right w:val="nil"/>
            </w:tcBorders>
            <w:shd w:val="clear" w:color="auto" w:fill="auto"/>
          </w:tcPr>
          <w:p w14:paraId="7A1435EC" w14:textId="49C4DF10" w:rsidR="00764AAB" w:rsidRPr="00CF7F4F" w:rsidRDefault="00764AAB" w:rsidP="00764AAB">
            <w:pPr>
              <w:ind w:left="360"/>
              <w:jc w:val="both"/>
              <w:rPr>
                <w:b/>
                <w:color w:val="000000" w:themeColor="text1"/>
              </w:rPr>
            </w:pPr>
            <w:r w:rsidRPr="00CF7F4F">
              <w:rPr>
                <w:b/>
                <w:color w:val="000000" w:themeColor="text1"/>
              </w:rPr>
              <w:t>Health Practices on COVID-19 Prevention</w:t>
            </w:r>
          </w:p>
        </w:tc>
      </w:tr>
      <w:tr w:rsidR="00764AAB" w:rsidRPr="00562E38" w14:paraId="739373F7" w14:textId="77777777" w:rsidTr="007E7E25">
        <w:trPr>
          <w:trHeight w:val="266"/>
        </w:trPr>
        <w:tc>
          <w:tcPr>
            <w:tcW w:w="2185" w:type="dxa"/>
            <w:tcBorders>
              <w:top w:val="single" w:sz="4" w:space="0" w:color="auto"/>
              <w:left w:val="nil"/>
              <w:bottom w:val="nil"/>
              <w:right w:val="nil"/>
            </w:tcBorders>
            <w:shd w:val="clear" w:color="auto" w:fill="auto"/>
          </w:tcPr>
          <w:p w14:paraId="7ADC9FEE" w14:textId="1BAFB8C6" w:rsidR="00764AAB" w:rsidRPr="00562E38" w:rsidRDefault="00764AAB" w:rsidP="00CF7F4F">
            <w:pPr>
              <w:rPr>
                <w:color w:val="000000" w:themeColor="text1"/>
              </w:rPr>
            </w:pPr>
          </w:p>
        </w:tc>
        <w:tc>
          <w:tcPr>
            <w:tcW w:w="1543" w:type="dxa"/>
            <w:tcBorders>
              <w:top w:val="single" w:sz="4" w:space="0" w:color="auto"/>
              <w:left w:val="nil"/>
              <w:bottom w:val="nil"/>
              <w:right w:val="nil"/>
            </w:tcBorders>
            <w:shd w:val="clear" w:color="auto" w:fill="auto"/>
          </w:tcPr>
          <w:p w14:paraId="7CF06292" w14:textId="3F65B237" w:rsidR="00764AAB" w:rsidRPr="00562E38" w:rsidRDefault="00764AAB" w:rsidP="00764AAB">
            <w:pPr>
              <w:ind w:left="360"/>
              <w:jc w:val="both"/>
              <w:rPr>
                <w:rFonts w:eastAsia="Arial"/>
                <w:color w:val="000000"/>
              </w:rPr>
            </w:pPr>
            <w:r w:rsidRPr="00562E38">
              <w:rPr>
                <w:color w:val="000000" w:themeColor="text1"/>
              </w:rPr>
              <w:t>Means</w:t>
            </w:r>
          </w:p>
        </w:tc>
        <w:tc>
          <w:tcPr>
            <w:tcW w:w="1440" w:type="dxa"/>
            <w:tcBorders>
              <w:top w:val="single" w:sz="4" w:space="0" w:color="auto"/>
              <w:left w:val="nil"/>
              <w:bottom w:val="nil"/>
              <w:right w:val="nil"/>
            </w:tcBorders>
            <w:shd w:val="clear" w:color="auto" w:fill="auto"/>
          </w:tcPr>
          <w:p w14:paraId="2D0277A5" w14:textId="3B72ABF1" w:rsidR="00764AAB" w:rsidRPr="00562E38" w:rsidRDefault="00764AAB" w:rsidP="00764AAB">
            <w:pPr>
              <w:ind w:left="360"/>
              <w:jc w:val="both"/>
            </w:pPr>
            <w:r w:rsidRPr="00562E38">
              <w:rPr>
                <w:color w:val="000000" w:themeColor="text1"/>
              </w:rPr>
              <w:t>SD</w:t>
            </w:r>
          </w:p>
        </w:tc>
        <w:tc>
          <w:tcPr>
            <w:tcW w:w="1669" w:type="dxa"/>
            <w:tcBorders>
              <w:top w:val="single" w:sz="4" w:space="0" w:color="auto"/>
              <w:left w:val="nil"/>
              <w:bottom w:val="nil"/>
              <w:right w:val="nil"/>
            </w:tcBorders>
            <w:shd w:val="clear" w:color="auto" w:fill="auto"/>
          </w:tcPr>
          <w:p w14:paraId="52B4D17A" w14:textId="393B0CBA" w:rsidR="00764AAB" w:rsidRPr="00562E38" w:rsidRDefault="00764AAB" w:rsidP="00764AAB">
            <w:pPr>
              <w:ind w:left="360"/>
              <w:jc w:val="both"/>
              <w:rPr>
                <w:color w:val="000000" w:themeColor="text1"/>
              </w:rPr>
            </w:pPr>
            <w:r w:rsidRPr="00562E38">
              <w:rPr>
                <w:color w:val="000000" w:themeColor="text1"/>
              </w:rPr>
              <w:t>t-value</w:t>
            </w:r>
          </w:p>
        </w:tc>
        <w:tc>
          <w:tcPr>
            <w:tcW w:w="2171" w:type="dxa"/>
            <w:tcBorders>
              <w:top w:val="single" w:sz="4" w:space="0" w:color="auto"/>
              <w:left w:val="nil"/>
              <w:bottom w:val="nil"/>
              <w:right w:val="nil"/>
            </w:tcBorders>
            <w:shd w:val="clear" w:color="auto" w:fill="auto"/>
          </w:tcPr>
          <w:p w14:paraId="7DD51BAB" w14:textId="2963FCAF" w:rsidR="00764AAB" w:rsidRPr="00562E38" w:rsidRDefault="00764AAB" w:rsidP="00764AAB">
            <w:pPr>
              <w:ind w:left="360"/>
              <w:jc w:val="both"/>
              <w:rPr>
                <w:color w:val="000000" w:themeColor="text1"/>
              </w:rPr>
            </w:pPr>
            <w:r w:rsidRPr="00562E38">
              <w:rPr>
                <w:color w:val="000000" w:themeColor="text1"/>
              </w:rPr>
              <w:t>p-value</w:t>
            </w:r>
          </w:p>
        </w:tc>
      </w:tr>
      <w:tr w:rsidR="00764AAB" w:rsidRPr="00562E38" w14:paraId="5B254B67" w14:textId="77777777" w:rsidTr="004A11B3">
        <w:trPr>
          <w:trHeight w:val="266"/>
        </w:trPr>
        <w:tc>
          <w:tcPr>
            <w:tcW w:w="2185" w:type="dxa"/>
            <w:tcBorders>
              <w:top w:val="nil"/>
              <w:left w:val="nil"/>
              <w:bottom w:val="nil"/>
              <w:right w:val="nil"/>
            </w:tcBorders>
            <w:shd w:val="clear" w:color="auto" w:fill="auto"/>
          </w:tcPr>
          <w:p w14:paraId="7AD4CCE1" w14:textId="7BE1997E" w:rsidR="00764AAB" w:rsidRPr="00562E38" w:rsidRDefault="00764AAB" w:rsidP="00764AAB">
            <w:pPr>
              <w:ind w:left="360"/>
              <w:rPr>
                <w:color w:val="000000" w:themeColor="text1"/>
              </w:rPr>
            </w:pPr>
            <w:r w:rsidRPr="00562E38">
              <w:rPr>
                <w:color w:val="000000" w:themeColor="text1"/>
              </w:rPr>
              <w:t>Pretest</w:t>
            </w:r>
          </w:p>
        </w:tc>
        <w:tc>
          <w:tcPr>
            <w:tcW w:w="1543" w:type="dxa"/>
            <w:tcBorders>
              <w:top w:val="nil"/>
              <w:left w:val="nil"/>
              <w:bottom w:val="nil"/>
              <w:right w:val="nil"/>
            </w:tcBorders>
            <w:shd w:val="clear" w:color="auto" w:fill="auto"/>
          </w:tcPr>
          <w:p w14:paraId="50C4C135" w14:textId="18CA6166" w:rsidR="00764AAB" w:rsidRPr="00562E38" w:rsidRDefault="00764AAB" w:rsidP="00764AAB">
            <w:pPr>
              <w:ind w:left="360"/>
              <w:jc w:val="both"/>
              <w:rPr>
                <w:rFonts w:eastAsia="Arial"/>
                <w:color w:val="000000"/>
              </w:rPr>
            </w:pPr>
            <w:r w:rsidRPr="00562E38">
              <w:rPr>
                <w:rFonts w:eastAsia="Arial"/>
                <w:color w:val="000000"/>
              </w:rPr>
              <w:t>1.75</w:t>
            </w:r>
          </w:p>
        </w:tc>
        <w:tc>
          <w:tcPr>
            <w:tcW w:w="1440" w:type="dxa"/>
            <w:tcBorders>
              <w:top w:val="nil"/>
              <w:left w:val="nil"/>
              <w:bottom w:val="nil"/>
              <w:right w:val="nil"/>
            </w:tcBorders>
            <w:shd w:val="clear" w:color="auto" w:fill="auto"/>
          </w:tcPr>
          <w:p w14:paraId="2734F6A1" w14:textId="27074BD1" w:rsidR="00764AAB" w:rsidRPr="00562E38" w:rsidRDefault="00764AAB" w:rsidP="00764AAB">
            <w:pPr>
              <w:ind w:left="360"/>
              <w:jc w:val="both"/>
            </w:pPr>
            <w:r w:rsidRPr="00562E38">
              <w:t>±</w:t>
            </w:r>
            <w:r w:rsidRPr="00562E38">
              <w:rPr>
                <w:rFonts w:eastAsia="Arial"/>
                <w:color w:val="000000"/>
              </w:rPr>
              <w:t>0.97</w:t>
            </w:r>
          </w:p>
        </w:tc>
        <w:tc>
          <w:tcPr>
            <w:tcW w:w="1669" w:type="dxa"/>
            <w:tcBorders>
              <w:top w:val="nil"/>
              <w:left w:val="nil"/>
              <w:bottom w:val="nil"/>
              <w:right w:val="nil"/>
            </w:tcBorders>
            <w:shd w:val="clear" w:color="auto" w:fill="auto"/>
          </w:tcPr>
          <w:p w14:paraId="35E6594D" w14:textId="5DF44885" w:rsidR="00764AAB" w:rsidRPr="00562E38" w:rsidRDefault="00764AAB" w:rsidP="00764AAB">
            <w:pPr>
              <w:ind w:left="360"/>
              <w:jc w:val="both"/>
              <w:rPr>
                <w:color w:val="000000" w:themeColor="text1"/>
              </w:rPr>
            </w:pPr>
            <w:r w:rsidRPr="00562E38">
              <w:rPr>
                <w:rFonts w:eastAsia="Arial"/>
                <w:color w:val="000000"/>
              </w:rPr>
              <w:t>0.83</w:t>
            </w:r>
          </w:p>
        </w:tc>
        <w:tc>
          <w:tcPr>
            <w:tcW w:w="2171" w:type="dxa"/>
            <w:tcBorders>
              <w:top w:val="nil"/>
              <w:left w:val="nil"/>
              <w:bottom w:val="nil"/>
              <w:right w:val="nil"/>
            </w:tcBorders>
            <w:shd w:val="clear" w:color="auto" w:fill="auto"/>
          </w:tcPr>
          <w:p w14:paraId="60FCBE81" w14:textId="7F8F0DF9" w:rsidR="00764AAB" w:rsidRPr="00562E38" w:rsidRDefault="00764AAB" w:rsidP="00764AAB">
            <w:pPr>
              <w:ind w:left="360"/>
              <w:jc w:val="both"/>
              <w:rPr>
                <w:color w:val="000000" w:themeColor="text1"/>
              </w:rPr>
            </w:pPr>
            <w:r w:rsidRPr="00562E38">
              <w:rPr>
                <w:rFonts w:eastAsia="Arial"/>
                <w:color w:val="000000"/>
              </w:rPr>
              <w:t>0.41</w:t>
            </w:r>
          </w:p>
        </w:tc>
      </w:tr>
      <w:tr w:rsidR="00764AAB" w:rsidRPr="00562E38" w14:paraId="4C609C5D" w14:textId="77777777" w:rsidTr="004A11B3">
        <w:trPr>
          <w:trHeight w:val="266"/>
        </w:trPr>
        <w:tc>
          <w:tcPr>
            <w:tcW w:w="2185" w:type="dxa"/>
            <w:tcBorders>
              <w:top w:val="nil"/>
              <w:left w:val="nil"/>
              <w:right w:val="nil"/>
            </w:tcBorders>
            <w:shd w:val="clear" w:color="auto" w:fill="auto"/>
          </w:tcPr>
          <w:p w14:paraId="40CAA7E1" w14:textId="2E180CBC" w:rsidR="00764AAB" w:rsidRPr="00562E38" w:rsidRDefault="00764AAB" w:rsidP="00764AAB">
            <w:pPr>
              <w:ind w:left="360"/>
              <w:rPr>
                <w:color w:val="000000" w:themeColor="text1"/>
              </w:rPr>
            </w:pPr>
            <w:r w:rsidRPr="00562E38">
              <w:rPr>
                <w:color w:val="000000" w:themeColor="text1"/>
              </w:rPr>
              <w:t>Post-test</w:t>
            </w:r>
          </w:p>
        </w:tc>
        <w:tc>
          <w:tcPr>
            <w:tcW w:w="1543" w:type="dxa"/>
            <w:tcBorders>
              <w:top w:val="nil"/>
              <w:left w:val="nil"/>
              <w:right w:val="nil"/>
            </w:tcBorders>
            <w:shd w:val="clear" w:color="auto" w:fill="auto"/>
          </w:tcPr>
          <w:p w14:paraId="39972713" w14:textId="6BAD44C3" w:rsidR="00764AAB" w:rsidRPr="00562E38" w:rsidRDefault="00764AAB" w:rsidP="00764AAB">
            <w:pPr>
              <w:ind w:left="360"/>
              <w:jc w:val="both"/>
              <w:rPr>
                <w:rFonts w:eastAsia="Arial"/>
                <w:color w:val="000000"/>
              </w:rPr>
            </w:pPr>
            <w:r w:rsidRPr="00562E38">
              <w:rPr>
                <w:rFonts w:eastAsia="Arial"/>
                <w:color w:val="000000"/>
              </w:rPr>
              <w:t>1.66</w:t>
            </w:r>
          </w:p>
        </w:tc>
        <w:tc>
          <w:tcPr>
            <w:tcW w:w="1440" w:type="dxa"/>
            <w:tcBorders>
              <w:top w:val="nil"/>
              <w:left w:val="nil"/>
              <w:right w:val="nil"/>
            </w:tcBorders>
            <w:shd w:val="clear" w:color="auto" w:fill="auto"/>
          </w:tcPr>
          <w:p w14:paraId="76C2D08D" w14:textId="7133DD14" w:rsidR="00764AAB" w:rsidRPr="00562E38" w:rsidRDefault="00764AAB" w:rsidP="00764AAB">
            <w:pPr>
              <w:ind w:left="360"/>
              <w:jc w:val="both"/>
            </w:pPr>
            <w:r w:rsidRPr="00562E38">
              <w:t>±</w:t>
            </w:r>
            <w:r w:rsidRPr="00562E38">
              <w:rPr>
                <w:rFonts w:eastAsia="Arial"/>
                <w:color w:val="000000"/>
              </w:rPr>
              <w:t>1.08</w:t>
            </w:r>
          </w:p>
        </w:tc>
        <w:tc>
          <w:tcPr>
            <w:tcW w:w="1669" w:type="dxa"/>
            <w:tcBorders>
              <w:top w:val="nil"/>
              <w:left w:val="nil"/>
              <w:right w:val="nil"/>
            </w:tcBorders>
            <w:shd w:val="clear" w:color="auto" w:fill="auto"/>
          </w:tcPr>
          <w:p w14:paraId="2AC7AA75" w14:textId="77777777" w:rsidR="00764AAB" w:rsidRPr="00562E38" w:rsidRDefault="00764AAB" w:rsidP="00764AAB">
            <w:pPr>
              <w:ind w:left="360"/>
              <w:jc w:val="both"/>
              <w:rPr>
                <w:color w:val="000000" w:themeColor="text1"/>
              </w:rPr>
            </w:pPr>
          </w:p>
        </w:tc>
        <w:tc>
          <w:tcPr>
            <w:tcW w:w="2171" w:type="dxa"/>
            <w:tcBorders>
              <w:top w:val="nil"/>
              <w:left w:val="nil"/>
              <w:right w:val="nil"/>
            </w:tcBorders>
            <w:shd w:val="clear" w:color="auto" w:fill="auto"/>
          </w:tcPr>
          <w:p w14:paraId="48E32072" w14:textId="77777777" w:rsidR="00764AAB" w:rsidRPr="00562E38" w:rsidRDefault="00764AAB" w:rsidP="00764AAB">
            <w:pPr>
              <w:ind w:left="360"/>
              <w:jc w:val="both"/>
              <w:rPr>
                <w:color w:val="000000" w:themeColor="text1"/>
              </w:rPr>
            </w:pPr>
          </w:p>
        </w:tc>
      </w:tr>
    </w:tbl>
    <w:p w14:paraId="10D0F4BC" w14:textId="62CC0872" w:rsidR="00562E38" w:rsidRPr="00701DBA" w:rsidRDefault="00562E38" w:rsidP="008B569C">
      <w:pPr>
        <w:ind w:left="357"/>
        <w:contextualSpacing/>
        <w:jc w:val="both"/>
        <w:rPr>
          <w:b/>
          <w:color w:val="000000" w:themeColor="text1"/>
          <w:vertAlign w:val="superscript"/>
        </w:rPr>
      </w:pPr>
      <w:r w:rsidRPr="00562E38">
        <w:rPr>
          <w:vertAlign w:val="superscript"/>
        </w:rPr>
        <w:t xml:space="preserve">*N=178; SD is Sample standard deviation; </w:t>
      </w:r>
      <w:proofErr w:type="spellStart"/>
      <w:r w:rsidRPr="00562E38">
        <w:rPr>
          <w:vertAlign w:val="superscript"/>
        </w:rPr>
        <w:t>df</w:t>
      </w:r>
      <w:proofErr w:type="spellEnd"/>
      <w:r w:rsidRPr="00562E38">
        <w:rPr>
          <w:vertAlign w:val="superscript"/>
        </w:rPr>
        <w:t xml:space="preserve"> = 176; critical value=1.96; Significance Level </w:t>
      </w:r>
      <w:r w:rsidRPr="00562E38">
        <w:rPr>
          <w:vertAlign w:val="superscript"/>
        </w:rPr>
        <w:sym w:font="Symbol" w:char="F061"/>
      </w:r>
      <w:r w:rsidRPr="00562E38">
        <w:rPr>
          <w:vertAlign w:val="superscript"/>
        </w:rPr>
        <w:t xml:space="preserve"> = 0.05 in 2-tailed test</w:t>
      </w:r>
      <w:r w:rsidR="00701DBA">
        <w:rPr>
          <w:b/>
          <w:color w:val="000000" w:themeColor="text1"/>
          <w:vertAlign w:val="superscript"/>
        </w:rPr>
        <w:t xml:space="preserve">; </w:t>
      </w:r>
      <w:r w:rsidRPr="00562E38">
        <w:rPr>
          <w:vertAlign w:val="superscript"/>
        </w:rPr>
        <w:t xml:space="preserve">Description: 0.00-1.74  Strongly Agree (SA) 1.75-2.45 Agree(A)  2.45-3.24  Disagree (D),  3.25-4.00  Strongly Disagree (SDA);  </w:t>
      </w:r>
      <w:proofErr w:type="spellStart"/>
      <w:r w:rsidRPr="00562E38">
        <w:rPr>
          <w:vertAlign w:val="superscript"/>
        </w:rPr>
        <w:t>df</w:t>
      </w:r>
      <w:proofErr w:type="spellEnd"/>
      <w:r w:rsidRPr="00562E38">
        <w:rPr>
          <w:vertAlign w:val="superscript"/>
        </w:rPr>
        <w:t xml:space="preserve"> = 176; critical value=1.96;  Significance Level </w:t>
      </w:r>
      <w:r w:rsidRPr="00562E38">
        <w:rPr>
          <w:vertAlign w:val="superscript"/>
        </w:rPr>
        <w:sym w:font="Symbol" w:char="F061"/>
      </w:r>
      <w:r w:rsidRPr="00562E38">
        <w:rPr>
          <w:vertAlign w:val="superscript"/>
        </w:rPr>
        <w:t xml:space="preserve"> = 0.05 in 2-tailed test</w:t>
      </w:r>
    </w:p>
    <w:p w14:paraId="3B497B9B" w14:textId="77777777" w:rsidR="00562E38" w:rsidRPr="00562E38" w:rsidRDefault="00562E38" w:rsidP="00562E38">
      <w:pPr>
        <w:ind w:left="360"/>
        <w:jc w:val="both"/>
      </w:pPr>
    </w:p>
    <w:p w14:paraId="64FC75B8" w14:textId="2783BD01" w:rsidR="00562E38" w:rsidRPr="0082370A" w:rsidRDefault="00BC560F" w:rsidP="009B68B8">
      <w:pPr>
        <w:pBdr>
          <w:top w:val="nil"/>
          <w:left w:val="nil"/>
          <w:bottom w:val="nil"/>
          <w:right w:val="nil"/>
          <w:between w:val="nil"/>
        </w:pBdr>
        <w:jc w:val="both"/>
        <w:rPr>
          <w:b/>
          <w:color w:val="000000"/>
        </w:rPr>
      </w:pPr>
      <w:r w:rsidRPr="0082370A">
        <w:rPr>
          <w:b/>
          <w:color w:val="000000"/>
        </w:rPr>
        <w:t xml:space="preserve">3.3 </w:t>
      </w:r>
      <w:r w:rsidR="00562E38" w:rsidRPr="0082370A">
        <w:rPr>
          <w:b/>
          <w:color w:val="000000"/>
        </w:rPr>
        <w:t>Discussion</w:t>
      </w:r>
    </w:p>
    <w:p w14:paraId="443CF03B" w14:textId="02232446" w:rsidR="00562E38" w:rsidRPr="0082370A" w:rsidRDefault="00562E38" w:rsidP="009B68B8">
      <w:pPr>
        <w:ind w:firstLine="360"/>
        <w:jc w:val="both"/>
      </w:pPr>
      <w:r w:rsidRPr="0082370A">
        <w:rPr>
          <w:bCs/>
          <w:color w:val="000000" w:themeColor="text1"/>
        </w:rPr>
        <w:t xml:space="preserve">This study assessed an </w:t>
      </w:r>
      <w:r w:rsidRPr="0082370A">
        <w:rPr>
          <w:color w:val="000000" w:themeColor="text1"/>
        </w:rPr>
        <w:t>online health education on the knowledge, attitudes, and practices preventing COVID-19 transmission among college students in a state university and private college</w:t>
      </w:r>
      <w:r w:rsidRPr="0082370A">
        <w:rPr>
          <w:bCs/>
          <w:color w:val="000000" w:themeColor="text1"/>
        </w:rPr>
        <w:t>.</w:t>
      </w:r>
      <w:r w:rsidRPr="0082370A">
        <w:t xml:space="preserve"> The results indicate above-average means of knowledge on </w:t>
      </w:r>
      <w:r w:rsidRPr="0082370A">
        <w:rPr>
          <w:bCs/>
        </w:rPr>
        <w:t>COVID-19 prevention</w:t>
      </w:r>
      <w:r w:rsidRPr="0082370A">
        <w:t xml:space="preserve"> in the pretest (17.75</w:t>
      </w:r>
      <w:proofErr w:type="gramStart"/>
      <w:r w:rsidRPr="0082370A">
        <w:t>,±</w:t>
      </w:r>
      <w:proofErr w:type="gramEnd"/>
      <w:r w:rsidRPr="0082370A">
        <w:t>2.27) and in the posttest (17.60,±2.95). Moreover, the participants were aware of the importance of vaccination, social distancing measures, following health protocols, and the essentiality of compliance with government agencies</w:t>
      </w:r>
      <w:r w:rsidR="00783318">
        <w:t>'</w:t>
      </w:r>
      <w:r w:rsidRPr="0082370A">
        <w:t xml:space="preserve"> guidelines. However, the participants were not practicing some of these health measures, as evidenced by the low means in the pretest (1.75, ±0.97) and posttest (1.66</w:t>
      </w:r>
      <w:proofErr w:type="gramStart"/>
      <w:r w:rsidRPr="0082370A">
        <w:t>,±</w:t>
      </w:r>
      <w:proofErr w:type="gramEnd"/>
      <w:r w:rsidRPr="0082370A">
        <w:t xml:space="preserve">1.08). All tests for significant differences of pretest and posttest means of knowledge </w:t>
      </w:r>
      <w:r w:rsidRPr="0082370A">
        <w:rPr>
          <w:color w:val="000000" w:themeColor="text1"/>
        </w:rPr>
        <w:t>(t=0.75</w:t>
      </w:r>
      <w:proofErr w:type="gramStart"/>
      <w:r w:rsidRPr="0082370A">
        <w:t>,p</w:t>
      </w:r>
      <w:proofErr w:type="gramEnd"/>
      <w:r w:rsidRPr="0082370A">
        <w:t>-value=</w:t>
      </w:r>
      <w:r w:rsidRPr="0082370A">
        <w:rPr>
          <w:color w:val="000000" w:themeColor="text1"/>
        </w:rPr>
        <w:t>0.46), attitude (t=</w:t>
      </w:r>
      <w:r w:rsidRPr="0082370A">
        <w:rPr>
          <w:rFonts w:eastAsia="Arial"/>
          <w:color w:val="000000"/>
        </w:rPr>
        <w:t>1.55,p-value=0.12), and practices (t=0.83</w:t>
      </w:r>
      <w:r w:rsidRPr="0082370A">
        <w:t>,p-value=</w:t>
      </w:r>
      <w:r w:rsidRPr="0082370A">
        <w:rPr>
          <w:rFonts w:eastAsia="Arial"/>
          <w:color w:val="000000"/>
        </w:rPr>
        <w:t>0.41) on COVID-19 prevention were all insignificant.</w:t>
      </w:r>
    </w:p>
    <w:p w14:paraId="4B106E8F" w14:textId="5B1832AB" w:rsidR="00562E38" w:rsidRPr="0082370A" w:rsidRDefault="00562E38" w:rsidP="00BC560F">
      <w:pPr>
        <w:ind w:firstLine="360"/>
        <w:jc w:val="both"/>
        <w:rPr>
          <w:bCs/>
          <w:color w:val="000000" w:themeColor="text1"/>
        </w:rPr>
      </w:pPr>
      <w:r w:rsidRPr="0082370A">
        <w:rPr>
          <w:bCs/>
          <w:color w:val="000000" w:themeColor="text1"/>
        </w:rPr>
        <w:lastRenderedPageBreak/>
        <w:t>Our findings suggest that the participants were</w:t>
      </w:r>
      <w:r w:rsidR="003B0B28">
        <w:rPr>
          <w:bCs/>
          <w:color w:val="000000" w:themeColor="text1"/>
        </w:rPr>
        <w:t xml:space="preserve"> </w:t>
      </w:r>
      <w:r w:rsidRPr="0082370A">
        <w:rPr>
          <w:bCs/>
          <w:color w:val="000000" w:themeColor="text1"/>
        </w:rPr>
        <w:t>knowledgeable about COVID-19. In the knowledge section of the questionnaire, the participants' overall mean score</w:t>
      </w:r>
      <w:r w:rsidR="003B0B28">
        <w:rPr>
          <w:bCs/>
          <w:color w:val="000000" w:themeColor="text1"/>
        </w:rPr>
        <w:t>s</w:t>
      </w:r>
      <w:r w:rsidRPr="0082370A">
        <w:rPr>
          <w:bCs/>
          <w:color w:val="000000" w:themeColor="text1"/>
        </w:rPr>
        <w:t xml:space="preserve"> in the pretest (17.75,</w:t>
      </w:r>
      <w:r w:rsidRPr="0082370A">
        <w:t>±</w:t>
      </w:r>
      <w:r w:rsidRPr="0082370A">
        <w:rPr>
          <w:bCs/>
          <w:color w:val="000000" w:themeColor="text1"/>
        </w:rPr>
        <w:t>2.27) and in the posttest (17.60,</w:t>
      </w:r>
      <w:r w:rsidRPr="0082370A">
        <w:t>±</w:t>
      </w:r>
      <w:r w:rsidRPr="0082370A">
        <w:rPr>
          <w:bCs/>
          <w:color w:val="000000" w:themeColor="text1"/>
        </w:rPr>
        <w:t xml:space="preserve">2.95) were consistent with previous research indicating adequate levels of understanding about epidemics such as Severe Acute Respiratory Syndrome (SARS-CoV-2) </w:t>
      </w:r>
      <w:r w:rsidRPr="0082370A">
        <w:rPr>
          <w:bCs/>
          <w:color w:val="000000" w:themeColor="text1"/>
        </w:rPr>
        <w:fldChar w:fldCharType="begin"/>
      </w:r>
      <w:r w:rsidR="00731D97">
        <w:rPr>
          <w:bCs/>
          <w:color w:val="000000" w:themeColor="text1"/>
        </w:rPr>
        <w:instrText xml:space="preserve"> ADDIN ZOTERO_ITEM CSL_CITATION {"citationID":"sUaH3NN4","properties":{"formattedCitation":"[24]","plainCitation":"[24]","noteIndex":0},"citationItems":[{"id":91,"uris":["http://zotero.org/users/9384194/items/TLEMGLHC"],"itemData":{"id":91,"type":"article-journal","container-title":"Medical Journal Armed Forces India","DOI":"10.1016/j.mjafi.2020.04.008","ISSN":"03771237","issue":"2","journalAbbreviation":"Medical Journal Armed Forces India","language":"en","page":"136-141","source":"DOI.org (Crossref)","title":"SARS-CoV-2: Camazotz's Curse","title-short":"SARS-CoV-2","volume":"76","author":[{"family":"Anand","given":"K.B."},{"family":"Karade","given":"S."},{"family":"Sen","given":"S."},{"family":"Gupta","given":"R.M."}],"issued":{"date-parts":[["2020",4]]}}}],"schema":"https://github.com/citation-style-language/schema/raw/master/csl-citation.json"} </w:instrText>
      </w:r>
      <w:r w:rsidRPr="0082370A">
        <w:rPr>
          <w:bCs/>
          <w:color w:val="000000" w:themeColor="text1"/>
        </w:rPr>
        <w:fldChar w:fldCharType="separate"/>
      </w:r>
      <w:r w:rsidR="00731D97" w:rsidRPr="00731D97">
        <w:t>[24]</w:t>
      </w:r>
      <w:r w:rsidRPr="0082370A">
        <w:rPr>
          <w:bCs/>
          <w:color w:val="000000" w:themeColor="text1"/>
        </w:rPr>
        <w:fldChar w:fldCharType="end"/>
      </w:r>
      <w:r w:rsidRPr="0082370A">
        <w:rPr>
          <w:bCs/>
          <w:color w:val="000000" w:themeColor="text1"/>
        </w:rPr>
        <w:t xml:space="preserve"> and the Middle East Respiratory Syndrome (MERS-</w:t>
      </w:r>
      <w:proofErr w:type="spellStart"/>
      <w:r w:rsidRPr="0082370A">
        <w:rPr>
          <w:bCs/>
          <w:color w:val="000000" w:themeColor="text1"/>
        </w:rPr>
        <w:t>CoV</w:t>
      </w:r>
      <w:proofErr w:type="spellEnd"/>
      <w:r w:rsidRPr="0082370A">
        <w:rPr>
          <w:bCs/>
          <w:color w:val="000000" w:themeColor="text1"/>
        </w:rPr>
        <w:t xml:space="preserve">) </w:t>
      </w:r>
      <w:r w:rsidRPr="0082370A">
        <w:rPr>
          <w:bCs/>
          <w:color w:val="000000" w:themeColor="text1"/>
        </w:rPr>
        <w:fldChar w:fldCharType="begin"/>
      </w:r>
      <w:r w:rsidRPr="0082370A">
        <w:rPr>
          <w:bCs/>
          <w:color w:val="000000" w:themeColor="text1"/>
        </w:rPr>
        <w:instrText xml:space="preserve"> ADDIN ZOTERO_ITEM CSL_CITATION {"citationID":"5NVNztBY","properties":{"formattedCitation":"[1]","plainCitation":"[1]","noteIndex":0},"citationItems":[{"id":3802,"uris":["http://zotero.org/users/9384194/items/I5GI5THA"],"itemData":{"id":3802,"type":"article-journal","abstract":"Background: Saudi Arabia has taken unprecedented and stringent preventive and precautionary measures against COVID-19 to control its spread, safeguard citizens and ensure their well-being. Public adherence to preventive measures is influenced by their knowledge and attitude towards COVID-19. This study investigated the knowledge, attitudes, and practices of the Saudi public, towards COVID-19, during the pandemic. Methods: This is a cross-sectional study, using data collected via an online self-reported questionnaire, from 3388 participants. To assess the differences in mean scores, and identify factors associated with knowledge, attitudes, and practices towards COVID-19, the data were run through univariate and multivariable regression analyses, respectively. Results: The majority of the study participants were knowledgeable about COVID-19. The mean COVID-19 knowledge score was 17.96 (SD = 2.24, range: 3–22), indicating a high level of knowledge. The mean score for attitude was 28.23 (SD = 2.76, range: 6–30), indicating optimistic attitudes. The mean score for practices was 4.34 (SD = 0.87, range: 0–5), indicating good practices. However, the results showed that men have less knowledge, less optimistic attitudes, and less good practice towards COVID-19, than women. We also found that older adults are likely to have better knowledge and practices, than younger people. Conclusions: Our finding suggests that targeted health education interventions should be directed to this particular vulnerable population, who may be at increased risk of contracting COVID-19. For example, COVID-19 knowledge may increase significantly if health education programs are specifically targeted at men.","container-title":"Frontiers in Public Health","DOI":"10.3389/fpubh.2020.00217","ISSN":"2296-2565","journalAbbreviation":"Front. Public Health","language":"English","note":"publisher: Frontiers","source":"Frontiers","title":"Knowledge, Attitude and Practice Toward COVID-19 Among the Public in the Kingdom of Saudi Arabia: A Cross-Sectional Study","title-short":"Knowledge, Attitude and Practice Toward COVID-19 Among the Public in the Kingdom of Saudi Arabia","URL":"https://www.frontiersin.org/articles/10.3389/fpubh.2020.00217/full#B19","volume":"0","author":[{"family":"Al-Hanawi","given":"Mohammed K."},{"family":"Angawi","given":"Khadijah"},{"family":"Alshareef","given":"Noor"},{"family":"Qattan","given":"Ameerah M. N."},{"family":"Helmy","given":"Hoda Z."},{"family":"Abudawood","given":"Yasmin"},{"family":"Alqurashi","given":"Mohammed"},{"family":"Kattan","given":"Waleed M."},{"family":"Kadasah","given":"Nasser Akeil"},{"family":"Chirwa","given":"Gowokani Chijere"},{"family":"Alsharqi","given":"Omar"}],"accessed":{"date-parts":[["2021",8,4]]},"issued":{"date-parts":[["2020"]]}}}],"schema":"https://github.com/citation-style-language/schema/raw/master/csl-citation.json"} </w:instrText>
      </w:r>
      <w:r w:rsidRPr="0082370A">
        <w:rPr>
          <w:bCs/>
          <w:color w:val="000000" w:themeColor="text1"/>
        </w:rPr>
        <w:fldChar w:fldCharType="separate"/>
      </w:r>
      <w:r w:rsidRPr="0082370A">
        <w:t>[1]</w:t>
      </w:r>
      <w:r w:rsidRPr="0082370A">
        <w:rPr>
          <w:bCs/>
          <w:color w:val="000000" w:themeColor="text1"/>
        </w:rPr>
        <w:fldChar w:fldCharType="end"/>
      </w:r>
      <w:r w:rsidRPr="0082370A">
        <w:rPr>
          <w:bCs/>
          <w:color w:val="000000" w:themeColor="text1"/>
        </w:rPr>
        <w:t xml:space="preserve">. In our study, the participants' accurate responses to knowledge-related questions did not come as a surprise. This may be </w:t>
      </w:r>
      <w:proofErr w:type="gramStart"/>
      <w:r w:rsidRPr="0082370A">
        <w:rPr>
          <w:bCs/>
          <w:color w:val="000000" w:themeColor="text1"/>
        </w:rPr>
        <w:t>due to the fact that</w:t>
      </w:r>
      <w:proofErr w:type="gramEnd"/>
      <w:r w:rsidRPr="0082370A">
        <w:rPr>
          <w:bCs/>
          <w:color w:val="000000" w:themeColor="text1"/>
        </w:rPr>
        <w:t xml:space="preserve"> the study was conducted at the height of the COVID-19 pandemic. During this period, </w:t>
      </w:r>
      <w:r w:rsidR="003265BE">
        <w:rPr>
          <w:bCs/>
          <w:color w:val="000000" w:themeColor="text1"/>
        </w:rPr>
        <w:t xml:space="preserve">the </w:t>
      </w:r>
      <w:r w:rsidRPr="0082370A">
        <w:rPr>
          <w:bCs/>
          <w:color w:val="000000" w:themeColor="text1"/>
        </w:rPr>
        <w:t>internet, television, and news media may have provided individuals with awareness and knowledge about the disease and its transmission, allowing them to gather information on how to protect themselves and their famil</w:t>
      </w:r>
      <w:r w:rsidR="003265BE">
        <w:rPr>
          <w:bCs/>
          <w:color w:val="000000" w:themeColor="text1"/>
        </w:rPr>
        <w:t>ies</w:t>
      </w:r>
      <w:r w:rsidRPr="0082370A">
        <w:rPr>
          <w:bCs/>
          <w:color w:val="000000" w:themeColor="text1"/>
        </w:rPr>
        <w:t xml:space="preserve"> from the virus.</w:t>
      </w:r>
    </w:p>
    <w:p w14:paraId="30733DFD" w14:textId="7614D252" w:rsidR="00562E38" w:rsidRPr="0082370A" w:rsidRDefault="00562E38" w:rsidP="00BC560F">
      <w:pPr>
        <w:autoSpaceDE w:val="0"/>
        <w:autoSpaceDN w:val="0"/>
        <w:adjustRightInd w:val="0"/>
        <w:ind w:firstLine="360"/>
        <w:jc w:val="both"/>
        <w:rPr>
          <w:rFonts w:eastAsiaTheme="minorHAnsi"/>
          <w:color w:val="000000"/>
          <w:lang w:val="en-PH"/>
        </w:rPr>
      </w:pPr>
      <w:r w:rsidRPr="0082370A">
        <w:rPr>
          <w:rFonts w:eastAsiaTheme="minorHAnsi"/>
          <w:color w:val="000000"/>
          <w:lang w:val="en-PH"/>
        </w:rPr>
        <w:t xml:space="preserve">Recognizing the government's numerous efforts to prevent misinformation concerning the COVID-19 pandemic is critical. The Department of Health (DOH) and the Inter-Agency Task Force (IATF) have launched a comprehensive public awareness campaign on their website and television. The Department of Health (DOH) and the Inter-Agency Task Force (IATF) engage the public and media, primarily through social media. These initiatives have significantly increased, including public participation in prevention and control measures and attempts to combat misinformation circulated in different media </w:t>
      </w:r>
      <w:r w:rsidRPr="0082370A">
        <w:rPr>
          <w:rFonts w:eastAsiaTheme="minorHAnsi"/>
          <w:color w:val="000000"/>
          <w:lang w:val="en-PH"/>
        </w:rPr>
        <w:fldChar w:fldCharType="begin"/>
      </w:r>
      <w:r w:rsidR="00731D97">
        <w:rPr>
          <w:rFonts w:eastAsiaTheme="minorHAnsi"/>
          <w:color w:val="000000"/>
          <w:lang w:val="en-PH"/>
        </w:rPr>
        <w:instrText xml:space="preserve"> ADDIN ZOTERO_ITEM CSL_CITATION {"citationID":"1X1d0ILh","properties":{"formattedCitation":"[20], [25]","plainCitation":"[20], [25]","noteIndex":0},"citationItems":[{"id":3966,"uris":["http://zotero.org/users/9384194/items/9ZQ24M5U"],"itemData":{"id":3966,"type":"article-journal","abstract":"BACKGROUND: Hypertension is a serious health issue and a significant risk factor for cardiovascular disease and stroke. Although various health education models have been used to improve lifestyle in patients with hypertension, the findings have been inconsistent.\nOBJECTIVE: This study aims to assess the effects of a lifestyle intervention program using a modified Beliefs, Attitude, Subjective Norms, Enabling Factors (BASNEF) model among nonadherent participants with hypertension in managing elevated blood pressure (BP) levels.\nMETHODS: This study reports a quantitative quasi-experimental research work, particularly using a repeated-measures design of the within-subjects approach on the 50 nonadherent patients who received a diagnosis of essential hypertension in Cebu, Philippines. The research participants received 5 sessions of training based on a modified BASNEF model. An adherence instrument was used as an evaluation platform. The first phase gathers participants' relevant profiles and background, and the final phase gathers participants' systolic BP, diastolic BP, heart rate, and adherence scores.\nRESULTS: The results indicate that the phase 1 mean systolic readings (146.50, SD 19.59) differ significantly from the phase 4 mean systolic readings (134.92, SD 15.24). They also suggest that the lifestyle intervention based on session III or phase IV behavioral intention in the BASNEF model microgroup sessions positively affects BP readings among the research participants.\nCONCLUSIONS: This study has established that the BASNEF model approach can be a good BP management technique.","container-title":"JMIR cardio","DOI":"10.2196/20297","ISSN":"2561-1011","issue":"2","journalAbbreviation":"JMIR Cardio","language":"eng","note":"PMID: 34559063","page":"e20297","source":"PubMed","title":"The Effects of Lifestyle Intervention Using the Modified Beliefs, Attitude, Subjective Norms, Enabling Factors Model in Hypertension Management: Quasi-Experimental Study","title-short":"The Effects of Lifestyle Intervention Using the Modified Beliefs, Attitude, Subjective Norms, Enabling Factors Model in Hypertension Management","volume":"5","author":[{"family":"Villarino","given":"Resti Tito"},{"family":"Arcay","given":"Christopher Asuncion"},{"family":"Temblor","given":"Maria Concepcion"},{"family":"Villarino","given":"Maureen Lorence"},{"family":"Bagsit","given":"Rosita"},{"family":"Ocampo","given":"Lanndon"},{"family":"Bernard","given":"Paquito"}],"issued":{"date-parts":[["2021",9,24]]}}},{"id":3827,"uris":["http://zotero.org/users/9384194/items/MFRPMINF"],"itemData":{"id":3827,"type":"article-journal","abstract":"BACKGROUND: During the COVID-19 pandemic general medical complications have received the most attention, whereas only few studies address the potential direct effect on mental health of SARS-CoV-2 and the neurotropic potential. Furthermore, the indirect effects of the pandemic on general mental health are of increasing concern, particularly since the SARS-CoV-1 epidemic (2002-2003) was associated with psychiatric complications.\nMETHODS: We systematically searched the database Pubmed including studies measuring psychiatric symptoms or morbidities associated with COVID-19 among infected patients and among none infected groups the latter divided in psychiatric patients, health care workers and non-health care workers.\nRESULTS: A total of 43 studies were included. Out of these, only two studies evaluated patients with confirmed COVID-19 infection, whereas 41 evaluated the indirect effect of the pandemic (2 on patients with preexisting psychiatric disorders, 20 on medical health care workers, and 19 on the general public). 18 of the studies were case-control studies/compared to norm, while 25 of the studies had no control groups. The two studies investigating COVID-19 patients found a high level of post-traumatic stress symptoms (PTSS) (96.2%) and significantly higher level of depressive symptoms (p = 0.016). Patients with preexisting psychiatric disorders reported worsening of psychiatric symptoms. Studies investigating health care workers found increased depression/depressive symptoms, anxiety, psychological distress and poor sleep quality. Studies of the general public revealed lower psychological well-being and higher scores of anxiety and depression compared to before COVID-19, while no difference when comparing these symptoms in the initial phase of the outbreak to four weeks later. A variety of factors were associated with higher risk of psychiatric symptoms and/or low psychological well-being including female gender, poor-self-related health and relatives with COVID-19.\nCONCLUSION: Research evaluating the direct neuropsychiatric consequences and the indirect effects on mental health is highly needed to improve treatment, mental health care planning and for preventive measures during potential subsequent pandemics.","container-title":"Brain, Behavior, and Immunity","DOI":"10.1016/j.bbi.2020.05.048","ISSN":"1090-2139","journalAbbreviation":"Brain Behav Immun","language":"eng","note":"PMID: 32485289\nPMCID: PMC7260522","page":"531-542","source":"PubMed","title":"COVID-19 pandemic and mental health consequences: Systematic review of the current evidence","title-short":"COVID-19 pandemic and mental health consequences","volume":"89","author":[{"family":"Vindegaard","given":"Nina"},{"family":"Benros","given":"Michael Eriksen"}],"issued":{"date-parts":[["2020",10]]}}}],"schema":"https://github.com/citation-style-language/schema/raw/master/csl-citation.json"} </w:instrText>
      </w:r>
      <w:r w:rsidRPr="0082370A">
        <w:rPr>
          <w:rFonts w:eastAsiaTheme="minorHAnsi"/>
          <w:color w:val="000000"/>
          <w:lang w:val="en-PH"/>
        </w:rPr>
        <w:fldChar w:fldCharType="separate"/>
      </w:r>
      <w:r w:rsidR="00731D97" w:rsidRPr="00731D97">
        <w:t>[20], [25]</w:t>
      </w:r>
      <w:r w:rsidRPr="0082370A">
        <w:rPr>
          <w:rFonts w:eastAsiaTheme="minorHAnsi"/>
          <w:color w:val="000000"/>
          <w:lang w:val="en-PH"/>
        </w:rPr>
        <w:fldChar w:fldCharType="end"/>
      </w:r>
      <w:r w:rsidRPr="0082370A">
        <w:rPr>
          <w:rFonts w:eastAsiaTheme="minorHAnsi"/>
          <w:color w:val="000000"/>
          <w:lang w:val="en-PH"/>
        </w:rPr>
        <w:t>.</w:t>
      </w:r>
    </w:p>
    <w:p w14:paraId="22DD43CB" w14:textId="1B264EED" w:rsidR="00562E38" w:rsidRPr="0082370A" w:rsidRDefault="00562E38" w:rsidP="00BC560F">
      <w:pPr>
        <w:autoSpaceDE w:val="0"/>
        <w:autoSpaceDN w:val="0"/>
        <w:adjustRightInd w:val="0"/>
        <w:ind w:firstLine="360"/>
        <w:jc w:val="both"/>
        <w:rPr>
          <w:rFonts w:eastAsiaTheme="minorHAnsi"/>
          <w:color w:val="000000"/>
          <w:lang w:val="en-PH"/>
        </w:rPr>
      </w:pPr>
      <w:r w:rsidRPr="0082370A">
        <w:rPr>
          <w:rFonts w:eastAsiaTheme="minorHAnsi"/>
          <w:color w:val="000000"/>
          <w:lang w:val="en-PH"/>
        </w:rPr>
        <w:t xml:space="preserve">Moreover, our research participants were aware of the clinical signs associated with COVID-19. It has been established that viral diseases are contagious among people in close contact </w:t>
      </w:r>
      <w:r w:rsidRPr="0082370A">
        <w:rPr>
          <w:rFonts w:eastAsiaTheme="minorHAnsi"/>
          <w:color w:val="000000"/>
          <w:lang w:val="en-PH"/>
        </w:rPr>
        <w:fldChar w:fldCharType="begin"/>
      </w:r>
      <w:r w:rsidR="00731D97">
        <w:rPr>
          <w:rFonts w:eastAsiaTheme="minorHAnsi"/>
          <w:color w:val="000000"/>
          <w:lang w:val="en-PH"/>
        </w:rPr>
        <w:instrText xml:space="preserve"> ADDIN ZOTERO_ITEM CSL_CITATION {"citationID":"42zxvrnt","properties":{"formattedCitation":"[26]","plainCitation":"[26]","noteIndex":0},"citationItems":[{"id":3848,"uris":["http://zotero.org/users/9384194/items/SNL8ZPL8"],"itemData":{"id":3848,"type":"report","abstract":"The spread of the novel coronavirus has led to unprecedented changes in daily living. College students may face unique challenges associated with these changes. In the present study, college students (N = 205) completed a battery of questionnaires in April of 2020, after having completed similar measures 8, 5, and 2 months prior as part of a larger study. A repeated measures ANOVA suggested significantly greater depression and anxiety symptom severity during the pandemic than at any other time during the 2019-2020 academic year. Static and modifiable factors associated with psychological distress and controlling for pre-existing psychological distress were examined. Cognitive and behavioral avoidance was the most consistent predictor of psychological distress during the pandemic. Online social engagement and problematic Internet use also conferred greater risk. Women and Latinx participants were more likely to experience elevated distress during the pandemic, even when controlling for distress prior to the pandemic.","genre":"preprint","note":"DOI: 10.31234/osf.io/2y7hu","publisher":"PsyArXiv","source":"DOI.org (Crossref)","title":"The Impact of the COVID-19 Pandemic on College Student Mental Health: A Longitudinal Examination of Risk and Protective Factors","title-short":"The Impact of the COVID-19 Pandemic on College Student Mental Health","URL":"https://osf.io/2y7hu","author":[{"family":"Zimmermann","given":"Martha"},{"family":"Bledsoe","given":"Casandra"},{"family":"Papa","given":"Anthony"}],"accessed":{"date-parts":[["2021",8,5]]},"issued":{"date-parts":[["2020",6,17]]}}}],"schema":"https://github.com/citation-style-language/schema/raw/master/csl-citation.json"} </w:instrText>
      </w:r>
      <w:r w:rsidRPr="0082370A">
        <w:rPr>
          <w:rFonts w:eastAsiaTheme="minorHAnsi"/>
          <w:color w:val="000000"/>
          <w:lang w:val="en-PH"/>
        </w:rPr>
        <w:fldChar w:fldCharType="separate"/>
      </w:r>
      <w:r w:rsidR="00731D97" w:rsidRPr="00731D97">
        <w:t>[26]</w:t>
      </w:r>
      <w:r w:rsidRPr="0082370A">
        <w:rPr>
          <w:rFonts w:eastAsiaTheme="minorHAnsi"/>
          <w:color w:val="000000"/>
          <w:lang w:val="en-PH"/>
        </w:rPr>
        <w:fldChar w:fldCharType="end"/>
      </w:r>
      <w:r w:rsidRPr="0082370A">
        <w:rPr>
          <w:rFonts w:eastAsiaTheme="minorHAnsi"/>
          <w:color w:val="000000"/>
          <w:lang w:val="en-PH"/>
        </w:rPr>
        <w:t xml:space="preserve">. Vaccination, face mask use, frequent handwashing, and social distancing are all recommended by the World Health Organization and Communicable and Disease Control </w:t>
      </w:r>
      <w:r w:rsidRPr="0082370A">
        <w:rPr>
          <w:rFonts w:eastAsiaTheme="minorHAnsi"/>
          <w:color w:val="000000"/>
          <w:lang w:val="en-PH"/>
        </w:rPr>
        <w:fldChar w:fldCharType="begin"/>
      </w:r>
      <w:r w:rsidR="00731D97">
        <w:rPr>
          <w:rFonts w:eastAsiaTheme="minorHAnsi"/>
          <w:color w:val="000000"/>
          <w:lang w:val="en-PH"/>
        </w:rPr>
        <w:instrText xml:space="preserve"> ADDIN ZOTERO_ITEM CSL_CITATION {"citationID":"UsixGtKS","properties":{"formattedCitation":"[3], [27]","plainCitation":"[3], [27]","noteIndex":0},"citationItems":[{"id":3856,"uris":["http://zotero.org/users/9384194/items/FTPM3SWD"],"itemData":{"id":3856,"type":"webpage","abstract":"Symptoms, testing, what to do if sick, daily activities, and more.","container-title":"Centers for Disease Control and Prevention","language":"en-us","title":"COVID-19 and Your Health","URL":"https://www.cdc.gov/coronavirus/2019-ncov/your-health/about-covid-19/basics-covid-19.html","author":[{"family":"CDC","given":""}],"accessed":{"date-parts":[["2021",8,5]]},"issued":{"date-parts":[["2020",2,11]]}}},{"id":3543,"uris":["http://zotero.org/users/9384194/items/CFKAX3TI"],"itemData":{"id":3543,"type":"webpage","title":"WHO/Europe | Coronavirus disease (COVID-19) outbreak - WHO announces COVID-19 outbreak a pandemic","URL":"https://www.euro.who.int/en/health-topics/health-emergencies/coronavirus-covid-19/news/news/2020/3/who-announces-covid-19-outbreak-a-pandemic","author":[{"family":"WHO","given":""}],"accessed":{"date-parts":[["2021",5,21]]},"issued":{"date-parts":[["2020"]]}}}],"schema":"https://github.com/citation-style-language/schema/raw/master/csl-citation.json"} </w:instrText>
      </w:r>
      <w:r w:rsidRPr="0082370A">
        <w:rPr>
          <w:rFonts w:eastAsiaTheme="minorHAnsi"/>
          <w:color w:val="000000"/>
          <w:lang w:val="en-PH"/>
        </w:rPr>
        <w:fldChar w:fldCharType="separate"/>
      </w:r>
      <w:r w:rsidR="00731D97" w:rsidRPr="00731D97">
        <w:t>[3], [27]</w:t>
      </w:r>
      <w:r w:rsidRPr="0082370A">
        <w:rPr>
          <w:rFonts w:eastAsiaTheme="minorHAnsi"/>
          <w:color w:val="000000"/>
          <w:lang w:val="en-PH"/>
        </w:rPr>
        <w:fldChar w:fldCharType="end"/>
      </w:r>
      <w:r w:rsidRPr="0082370A">
        <w:rPr>
          <w:rFonts w:eastAsiaTheme="minorHAnsi"/>
          <w:color w:val="000000"/>
          <w:lang w:val="en-PH"/>
        </w:rPr>
        <w:t xml:space="preserve"> and disseminated this health information through different media. Thus, it was clear that the participants were aware of the importance of adhering to these health protocols, such as wearing </w:t>
      </w:r>
      <w:proofErr w:type="gramStart"/>
      <w:r w:rsidRPr="0082370A">
        <w:rPr>
          <w:rFonts w:eastAsiaTheme="minorHAnsi"/>
          <w:color w:val="000000"/>
          <w:lang w:val="en-PH"/>
        </w:rPr>
        <w:t>face masks</w:t>
      </w:r>
      <w:proofErr w:type="gramEnd"/>
      <w:r w:rsidRPr="0082370A">
        <w:rPr>
          <w:rFonts w:eastAsiaTheme="minorHAnsi"/>
          <w:color w:val="000000"/>
          <w:lang w:val="en-PH"/>
        </w:rPr>
        <w:t xml:space="preserve"> and practicing social distancing measures to limit virus transmission.</w:t>
      </w:r>
    </w:p>
    <w:p w14:paraId="187BAF85" w14:textId="4EB6F210" w:rsidR="00562E38" w:rsidRPr="0082370A" w:rsidRDefault="00562E38" w:rsidP="00BC560F">
      <w:pPr>
        <w:autoSpaceDE w:val="0"/>
        <w:autoSpaceDN w:val="0"/>
        <w:adjustRightInd w:val="0"/>
        <w:ind w:firstLine="360"/>
        <w:jc w:val="both"/>
      </w:pPr>
      <w:r w:rsidRPr="0082370A">
        <w:rPr>
          <w:color w:val="000000"/>
        </w:rPr>
        <w:t xml:space="preserve">Health education is a fundamental part of an overall school health program as it provides students with the knowledge and skills they need to maintain good health and well-being </w:t>
      </w:r>
      <w:r w:rsidRPr="0082370A">
        <w:rPr>
          <w:color w:val="000000"/>
        </w:rPr>
        <w:fldChar w:fldCharType="begin"/>
      </w:r>
      <w:r w:rsidR="00731D97">
        <w:rPr>
          <w:color w:val="000000"/>
        </w:rPr>
        <w:instrText xml:space="preserve"> ADDIN ZOTERO_ITEM CSL_CITATION {"citationID":"SsarzcnM","properties":{"formattedCitation":"[28]","plainCitation":"[28]","noteIndex":0},"citationItems":[{"id":4166,"uris":["http://zotero.org/users/9384194/items/AHS9PV4T"],"itemData":{"id":4166,"type":"webpage","title":"What Works: Sexual Health Education | Adolescent and School Health | CDC","URL":"https://www.cdc.gov/healthyyouth/whatworks/what-works-sexual-health-education.htm","author":[{"family":"CDC","given":""}],"accessed":{"date-parts":[["2022",1,5]]},"issued":{"date-parts":[["2020"]]}}}],"schema":"https://github.com/citation-style-language/schema/raw/master/csl-citation.json"} </w:instrText>
      </w:r>
      <w:r w:rsidRPr="0082370A">
        <w:rPr>
          <w:color w:val="000000"/>
        </w:rPr>
        <w:fldChar w:fldCharType="separate"/>
      </w:r>
      <w:r w:rsidR="00731D97" w:rsidRPr="00731D97">
        <w:t>[28]</w:t>
      </w:r>
      <w:r w:rsidRPr="0082370A">
        <w:rPr>
          <w:color w:val="000000"/>
        </w:rPr>
        <w:fldChar w:fldCharType="end"/>
      </w:r>
      <w:r w:rsidRPr="0082370A">
        <w:rPr>
          <w:color w:val="000000"/>
        </w:rPr>
        <w:t xml:space="preserve">. </w:t>
      </w:r>
      <w:r w:rsidRPr="0082370A">
        <w:rPr>
          <w:rFonts w:eastAsiaTheme="minorHAnsi"/>
          <w:color w:val="000000"/>
          <w:lang w:val="en-PH"/>
        </w:rPr>
        <w:t xml:space="preserve">Although our participants know and are </w:t>
      </w:r>
      <w:r w:rsidRPr="0082370A">
        <w:t xml:space="preserve">aware of these health protocols, </w:t>
      </w:r>
      <w:r w:rsidRPr="0082370A">
        <w:rPr>
          <w:rFonts w:eastAsiaTheme="minorHAnsi"/>
          <w:color w:val="000000"/>
          <w:lang w:val="en-PH"/>
        </w:rPr>
        <w:t xml:space="preserve">adherence to and practicing these health measures to prevent COVID-19 transmission </w:t>
      </w:r>
      <w:proofErr w:type="gramStart"/>
      <w:r w:rsidRPr="0082370A">
        <w:rPr>
          <w:rFonts w:eastAsiaTheme="minorHAnsi"/>
          <w:color w:val="000000"/>
          <w:lang w:val="en-PH"/>
        </w:rPr>
        <w:t>w</w:t>
      </w:r>
      <w:r w:rsidR="001C01EF">
        <w:rPr>
          <w:rFonts w:eastAsiaTheme="minorHAnsi"/>
          <w:color w:val="000000"/>
          <w:lang w:val="en-PH"/>
        </w:rPr>
        <w:t>as</w:t>
      </w:r>
      <w:r w:rsidRPr="0082370A">
        <w:rPr>
          <w:rFonts w:eastAsiaTheme="minorHAnsi"/>
          <w:color w:val="000000"/>
          <w:lang w:val="en-PH"/>
        </w:rPr>
        <w:t xml:space="preserve"> not practiced</w:t>
      </w:r>
      <w:proofErr w:type="gramEnd"/>
      <w:r w:rsidRPr="0082370A">
        <w:rPr>
          <w:rFonts w:eastAsiaTheme="minorHAnsi"/>
          <w:color w:val="000000"/>
          <w:lang w:val="en-PH"/>
        </w:rPr>
        <w:t xml:space="preserve">. According to </w:t>
      </w:r>
      <w:proofErr w:type="spellStart"/>
      <w:r w:rsidRPr="0082370A">
        <w:t>Arlinghaus</w:t>
      </w:r>
      <w:proofErr w:type="spellEnd"/>
      <w:r w:rsidRPr="0082370A">
        <w:t xml:space="preserve"> </w:t>
      </w:r>
      <w:r w:rsidRPr="0082370A">
        <w:fldChar w:fldCharType="begin"/>
      </w:r>
      <w:r w:rsidR="00731D97">
        <w:instrText xml:space="preserve"> ADDIN ZOTERO_ITEM CSL_CITATION {"citationID":"Pn42dvfe","properties":{"formattedCitation":"[29]","plainCitation":"[29]","noteIndex":0},"citationItems":[{"id":4693,"uris":["http://zotero.org/users/9384194/items/NEGE7BGQ"],"itemData":{"id":4693,"type":"article-journal","abstract":"Education is ubiquitous with clinical care. However, not all education supports behavioral change. Education is a broad term that encompasses the process of obtaining general knowledge, personal awareness, and skills training. Although not sufficient, education is a necessary component for behavior change. This article outlines the role of education in behavior change and offers practical suggestions for how clinicians can provide education to their patients to help them change behavior.","container-title":"American Journal of Lifestyle Medicine","DOI":"10.1177/1559827617745479","ISSN":"1559-8276","issue":"2","journalAbbreviation":"Am J Lifestyle Med","note":"PMID: 30283247\nPMCID: PMC6124997","page":"113-116","source":"PubMed Central","title":"Advocating for Behavior Change With Education","volume":"12","author":[{"family":"Arlinghaus","given":"Katherine R."},{"family":"Johnston","given":"Craig A."}],"issued":{"date-parts":[["2017",12,9]]}}}],"schema":"https://github.com/citation-style-language/schema/raw/master/csl-citation.json"} </w:instrText>
      </w:r>
      <w:r w:rsidRPr="0082370A">
        <w:fldChar w:fldCharType="separate"/>
      </w:r>
      <w:r w:rsidR="00731D97" w:rsidRPr="00731D97">
        <w:t>[29]</w:t>
      </w:r>
      <w:r w:rsidRPr="0082370A">
        <w:fldChar w:fldCharType="end"/>
      </w:r>
      <w:r w:rsidRPr="0082370A">
        <w:t xml:space="preserve">, not all knowledge and awareness learned through health education programs necessarily translate into health practices. Despite this, knowledge and awareness are still vital factors in disease prevention, as supported by </w:t>
      </w:r>
      <w:proofErr w:type="spellStart"/>
      <w:r w:rsidRPr="0082370A">
        <w:t>Ayu</w:t>
      </w:r>
      <w:proofErr w:type="spellEnd"/>
      <w:r w:rsidRPr="0082370A">
        <w:t xml:space="preserve"> et al. </w:t>
      </w:r>
      <w:r w:rsidRPr="0082370A">
        <w:fldChar w:fldCharType="begin"/>
      </w:r>
      <w:r w:rsidR="00731D97">
        <w:instrText xml:space="preserve"> ADDIN ZOTERO_ITEM CSL_CITATION {"citationID":"LWJzBJz5","properties":{"formattedCitation":"[30]","plainCitation":"[30]","noteIndex":0},"citationItems":[{"id":3978,"uris":["http://zotero.org/users/9384194/items/LEPQYWP9"],"itemData":{"id":3978,"type":"article-journal","abstract":"This study was conducted examine the effect of counseling on the increasing knowledge and attitudes about risky pregnancies at Muhammadiyah 1 Vocational High School in Wonosobo, Indonesia. This research was quasi-experimental research employed quasi experiment design with one group pretest-post-test design. Measurements were made before and after treatment, by doing a pre-test and post-test. Sample sie in this study was 108 students. The instrument in this study is the questionnaire. The results of the knowledge variable showed a significant value 0.003. There is an effect of reproductive health counseling on increasing knowledge and attitudes about risky.","container-title":"International Journal of Evaluation and Research in Education (IJERE)","DOI":"10.11591/ijere.v9i2.20413","ISSN":"2620-5440, 2252-8822","issue":"2","journalAbbreviation":"IJERE","page":"326","source":"DOI.org (Crossref)","title":"Knowledge and attitude about risky pregnancy among student","volume":"9","author":[{"family":"Ayu","given":"Suci Musvita"},{"family":"Lindawati","given":"S."},{"family":"Halimatusa’diyah","given":"Thoharoh"}],"issued":{"date-parts":[["2020",6,1]]}}}],"schema":"https://github.com/citation-style-language/schema/raw/master/csl-citation.json"} </w:instrText>
      </w:r>
      <w:r w:rsidRPr="0082370A">
        <w:fldChar w:fldCharType="separate"/>
      </w:r>
      <w:r w:rsidR="00731D97" w:rsidRPr="00731D97">
        <w:t>[30]</w:t>
      </w:r>
      <w:r w:rsidRPr="0082370A">
        <w:fldChar w:fldCharType="end"/>
      </w:r>
      <w:r w:rsidRPr="0082370A">
        <w:t xml:space="preserve"> that less or limited knowledge about the disease process and risk factors will increase the incidence of the disease. Moreover, Davis </w:t>
      </w:r>
      <w:r w:rsidRPr="0082370A">
        <w:fldChar w:fldCharType="begin"/>
      </w:r>
      <w:r w:rsidR="00731D97">
        <w:instrText xml:space="preserve"> ADDIN ZOTERO_ITEM CSL_CITATION {"citationID":"NAzLG70v","properties":{"formattedCitation":"[31]","plainCitation":"[31]","noteIndex":0},"citationItems":[{"id":4007,"uris":["http://zotero.org/users/9384194/items/BN54J6H5"],"itemData":{"id":4007,"type":"article-journal","abstract":"Abstract\n            \n              Background\n              In India, a large number of pregnancies are unplanned resulting in unsafe and illegal abortion. For every legal abortion, 10 to 11 illegal abortions are occurring which endangers the health and survival of the women. In recent years, there is an increase in unwanted and unintended pregnancy at the early age group. Usage of emergency contraception (EC) can decrease the unwanted pregnancy and provide a healthier life.\n            \n            \n              Aim\n              The aim of study is to assess the knowledge and attitude regarding EC among college students in Thiruvarur District, Tamil Nadu, India.\n            \n            \n              Methods\n              A cross-sectional study was conducted among the college students of Thiruvarur district, Tamil Nadu, India. A total of 758 students were selected by convenient sampling technique. Data was collected by administering a pretested semi-structured questionnaire.\n            \n            \n              Results\n              \n                Out of 758 students, 183(24%) heard about EC. The commonest source of information was the internet 91 (49.7%). The majority 116 (63.4%) knew that it does not prevent STDs. Of those who were aware, 42% were aware of 42.6% are aware of the time limit to use EC. The knowledge level of about the EC was moderate (60.1%), and it was significantly (\n                p\n                &lt; 0.05) more among students &gt; 25 years old, married participants, students in private institution, of lower socio-economic status, Muslim students and days’ scholars. The negative attitude towards EC was 59%. Nearly 38.8% believed that the EC will affect the next menstrual period, and 35.5% informed it will increase high risk behaviour among adults. The attitude level was significantly associated with the same factors associated with the awareness level with the factors Christian religion replacing Muslim and higher socioeconomic class replacing lower class participants.\n              \n            \n            \n              Conclusion\n              The knowledge level of the studied college students was moderate, and they mostly had negative attitude towards the EC. Reproductive health education should be given in educational institutions to promote awareness and to remove misconceptions about EC.","container-title":"Journal of the Egyptian Public Health Association","DOI":"10.1186/s42506-019-0030-9","ISSN":"2090-262X","issue":"1","journalAbbreviation":"J. Egypt. Public. Health. Assoc.","language":"en","page":"1","source":"DOI.org (Crossref)","title":"Knowledge and attitudes about the use of emergency contraception among college students in Tamil Nadu, India","volume":"95","author":[{"family":"Davis","given":"Prem"},{"family":"Sarasveni","given":"Malaimala"},{"family":"Krishnan","given":"Jayalakshmi"},{"family":"Bhat","given":"Lekha Diwakara"},{"family":"Kodali","given":"Naveen Kumar"}],"issued":{"date-parts":[["2020",12]]}}}],"schema":"https://github.com/citation-style-language/schema/raw/master/csl-citation.json"} </w:instrText>
      </w:r>
      <w:r w:rsidRPr="0082370A">
        <w:fldChar w:fldCharType="separate"/>
      </w:r>
      <w:r w:rsidR="00731D97" w:rsidRPr="00731D97">
        <w:t>[31]</w:t>
      </w:r>
      <w:r w:rsidRPr="0082370A">
        <w:fldChar w:fldCharType="end"/>
      </w:r>
      <w:r w:rsidRPr="0082370A">
        <w:t xml:space="preserve"> stated that </w:t>
      </w:r>
      <w:r w:rsidR="001C01EF">
        <w:t>knowledge and attitude will be the basis of healthy practices later in life among young adults</w:t>
      </w:r>
      <w:r w:rsidRPr="0082370A">
        <w:t>. Thus, providing health education programs will be beneficial.</w:t>
      </w:r>
    </w:p>
    <w:p w14:paraId="680763BE" w14:textId="03CDDD68" w:rsidR="00562E38" w:rsidRPr="0082370A" w:rsidRDefault="00BC560F" w:rsidP="00BC560F">
      <w:pPr>
        <w:tabs>
          <w:tab w:val="left" w:pos="1260"/>
        </w:tabs>
        <w:jc w:val="both"/>
        <w:rPr>
          <w:color w:val="000000"/>
        </w:rPr>
      </w:pPr>
      <w:r w:rsidRPr="0082370A">
        <w:rPr>
          <w:rFonts w:eastAsiaTheme="minorHAnsi"/>
          <w:color w:val="000000"/>
          <w:lang w:val="en-PH"/>
        </w:rPr>
        <w:t xml:space="preserve">        </w:t>
      </w:r>
      <w:r w:rsidR="00562E38" w:rsidRPr="0082370A">
        <w:rPr>
          <w:color w:val="000000"/>
        </w:rPr>
        <w:t xml:space="preserve">Higher education institutions have supported internet-based activities to promote health awareness and prevent the spread of the COVID-19 virus </w:t>
      </w:r>
      <w:r w:rsidR="00562E38" w:rsidRPr="0082370A">
        <w:rPr>
          <w:color w:val="000000"/>
        </w:rPr>
        <w:fldChar w:fldCharType="begin"/>
      </w:r>
      <w:r w:rsidR="00731D97">
        <w:rPr>
          <w:color w:val="000000"/>
        </w:rPr>
        <w:instrText xml:space="preserve"> ADDIN ZOTERO_ITEM CSL_CITATION {"citationID":"dqptoIAz","properties":{"formattedCitation":"[7], [32]","plainCitation":"[7], [32]","noteIndex":0},"citationItems":[{"id":4191,"uris":["http://zotero.org/users/9384194/items/TP5BQKJI"],"itemData":{"id":4191,"type":"article-journal","abstract":"Background:\n              The emergence of coronavirus disease 2019 (COVID-19) has created a severe mental health problem for international students living in China. Despite the little information on the psychological impact on international students, we aimed to assess the psychological outcomes and associated factors among international students currently living in China during the COVID-19 pandemic.\n            \n            \n              Methods:\n              An online cross-sectional survey was conducted from May 28, 2020 to June 12, 2020 on 402 full-time international students across 26 provinces in China. The frequency of symptoms of depression, anxiety, stress, insomnia, psychological distress, loneliness, and fear was assessed with the English versions of the Depression Anxiety Stress Scale (DASS-21), Insomnia Severity Index (ISI), Kessler Psychological Distress Scale (K6), University of California, Los Angeles, Loneliness Scale (UCLA-LS), and Fear of COVID-19 scale (FCV-19S) scales, respectively.\n            \n            \n              Results:\n              The prevalence of symptoms of depression (73.4%), anxiety (76.6%), stress (58.5%), insomnia (77.6%), psychological distress (71.4%), loneliness (62.4%), and fear (73.1%) among international students during the COVID-19 pandemic was shown. The prevalence of moderate to extremely severe symptoms of all psychological outcomes was significantly associated with 26–30-year-old students, students who lived with roommates, and students who stayed in China shorter than 2 years. Participants in the central region reported significantly moderate to extremely severe symptom levels of all the psychological outcomes except fear symptoms. Univariate analysis indicated that a significant association of all psychological outcomes was found among 26–30-year-old students and students who stayed in China shorter than 2 years. Multivariate analysis showed that Engineering, Business, Social Sciences and Law, and Language students were significantly associated with the symptoms of depression, anxiety, insomnia, and fear. Participants staying in China for shorter than 2 years were associated with a higher risk of all psychological outcomes except psychological distress and loneliness symptoms.\n            \n            \n              Conclusions:\n              We found a higher prevalence of psychological outcomes and risk factors among international students during the COVID-19 pandemic. We immediately appealed to university authorities, mental health professionals, and government officials to provide mental health interventions and strategies for their international students, particularly young, central region students, living with roommates, different study backgrounds, and short time staying during the pandemic.","container-title":"Frontiers in Psychiatry","DOI":"10.3389/fpsyt.2021.707342","ISSN":"1664-0640","journalAbbreviation":"Front. Psychiatry","page":"707342","source":"DOI.org (Crossref)","title":"Psychological Outcomes and Associated Factors Among the International Students Living in China During the COVID-19 Pandemic","volume":"12","author":[{"family":"Alam","given":"Md. Dhedharul"},{"family":"Lu","given":"Jing"},{"family":"Ni","given":"Li"},{"family":"Hu","given":"Shaohua"},{"family":"Xu","given":"Yi"}],"issued":{"date-parts":[["2021",8,13]]}}},{"id":4319,"uris":["http://zotero.org/users/9384194/items/G2B4V8BT"],"itemData":{"id":4319,"type":"article-journal","container-title":"Frontiers in Psychology","DOI":"10.3389/fpsyg.2020.569935","ISSN":"1664-1078","journalAbbreviation":"Front. Psychol.","page":"569935","source":"DOI.org (Crossref)","title":"Traumatic Stress in Healthcare Workers During COVID-19 Pandemic: A Review of the Immediate Impact","title-short":"Traumatic Stress in Healthcare Workers During COVID-19 Pandemic","volume":"11","author":[{"family":"Benfante","given":"Agata"},{"family":"Di Tella","given":"Marialaura"},{"family":"Romeo","given":"Annunziata"},{"family":"Castelli","given":"Lorys"}],"issued":{"date-parts":[["2020",10,23]]}}}],"schema":"https://github.com/citation-style-language/schema/raw/master/csl-citation.json"} </w:instrText>
      </w:r>
      <w:r w:rsidR="00562E38" w:rsidRPr="0082370A">
        <w:rPr>
          <w:color w:val="000000"/>
        </w:rPr>
        <w:fldChar w:fldCharType="separate"/>
      </w:r>
      <w:r w:rsidR="00731D97" w:rsidRPr="00731D97">
        <w:t>[7], [32]</w:t>
      </w:r>
      <w:r w:rsidR="00562E38" w:rsidRPr="0082370A">
        <w:rPr>
          <w:color w:val="000000"/>
        </w:rPr>
        <w:fldChar w:fldCharType="end"/>
      </w:r>
      <w:r w:rsidR="00562E38" w:rsidRPr="0082370A">
        <w:rPr>
          <w:color w:val="000000"/>
        </w:rPr>
        <w:t xml:space="preserve">. These online programs are a more viable method due to their ease of access and engagement flexibility </w:t>
      </w:r>
      <w:r w:rsidR="00562E38" w:rsidRPr="0082370A">
        <w:rPr>
          <w:color w:val="000000"/>
        </w:rPr>
        <w:fldChar w:fldCharType="begin"/>
      </w:r>
      <w:r w:rsidR="00731D97">
        <w:rPr>
          <w:color w:val="000000"/>
        </w:rPr>
        <w:instrText xml:space="preserve"> ADDIN ZOTERO_ITEM CSL_CITATION {"citationID":"WlZ3OyQ1","properties":{"formattedCitation":"[33]","plainCitation":"[33]","noteIndex":0},"citationItems":[{"id":4035,"uris":["http://zotero.org/users/9384194/items/NQR2JMX4"],"itemData":{"id":4035,"type":"article-journal","abstract":"Pre-existing issues regarding the wellbeing and mental health of university students have subsequently been compounded by the global COVID-19 pandemic. Research signals that anxiety and depression symptomology has increased in university students’ following the COVID-19 outbreak, and mental wellbeing has declined. In response to concerns around mental health of students in Higher Education (HE), and to support the transition to remote working during the pandemic, we designed and implemented an 8-week wellbeing program based on positive education frameworks and practices. The online program was delivered in a West Midlands-based university in the United Kingdom, to undergraduate and postgraduate psychology students. The weekly sessions [ran through a virtual learning environment (VLE)] aimed to 1) provide students with a community and an opportunity to feel connected with other students, 2) introduce students to key concepts of wellbeing, and 3) equip students with knowledge and resources that would help sustain/improve their wellbeing. In this paper we outline how positive education, and specifically the “PERMA” wellbeing framework, has inspired the development of this wellbeing program (including the accompanying VLE webpages and sources of support) and future plans for evaluation. We further describe the content and delivery of this program alongside practical implications, lessons learned and important constraints. We situate this discussion alongside consideration of ongoing wellbeing support requirements following the pandemic and issues regarding wider integration of PERMA approaches in university contexts.","container-title":"Frontiers in Education","DOI":"10.3389/feduc.2021.642632","ISSN":"2504-284X","journalAbbreviation":"Front. Educ.","page":"642632","source":"DOI.org (Crossref)","title":"A ‘PERMA’ Response to the Pandemic: An Online Positive Education Programme to Promote Wellbeing in University Students","title-short":"A ‘PERMA’ Response to the Pandemic","volume":"6","author":[{"family":"Morgan","given":"Blaire"},{"family":"Simmons","given":"Laura"}],"issued":{"date-parts":[["2021",5,18]]}}}],"schema":"https://github.com/citation-style-language/schema/raw/master/csl-citation.json"} </w:instrText>
      </w:r>
      <w:r w:rsidR="00562E38" w:rsidRPr="0082370A">
        <w:rPr>
          <w:color w:val="000000"/>
        </w:rPr>
        <w:fldChar w:fldCharType="separate"/>
      </w:r>
      <w:r w:rsidR="00731D97" w:rsidRPr="00731D97">
        <w:t>[33]</w:t>
      </w:r>
      <w:r w:rsidR="00562E38" w:rsidRPr="0082370A">
        <w:rPr>
          <w:color w:val="000000"/>
        </w:rPr>
        <w:fldChar w:fldCharType="end"/>
      </w:r>
      <w:r w:rsidR="00562E38" w:rsidRPr="0082370A">
        <w:rPr>
          <w:color w:val="000000"/>
        </w:rPr>
        <w:t xml:space="preserve">. A systematic review by </w:t>
      </w:r>
      <w:proofErr w:type="spellStart"/>
      <w:r w:rsidR="00562E38" w:rsidRPr="0082370A">
        <w:rPr>
          <w:color w:val="000000"/>
        </w:rPr>
        <w:t>Harrer</w:t>
      </w:r>
      <w:proofErr w:type="spellEnd"/>
      <w:r w:rsidR="00562E38" w:rsidRPr="0082370A">
        <w:rPr>
          <w:color w:val="000000"/>
        </w:rPr>
        <w:t xml:space="preserve"> et al. </w:t>
      </w:r>
      <w:r w:rsidR="00562E38" w:rsidRPr="0082370A">
        <w:rPr>
          <w:color w:val="000000"/>
        </w:rPr>
        <w:fldChar w:fldCharType="begin"/>
      </w:r>
      <w:r w:rsidR="00731D97">
        <w:rPr>
          <w:color w:val="000000"/>
        </w:rPr>
        <w:instrText xml:space="preserve"> ADDIN ZOTERO_ITEM CSL_CITATION {"citationID":"pI43LxDB","properties":{"formattedCitation":"[34]","plainCitation":"[34]","noteIndex":0},"citationItems":[{"id":4043,"uris":["http://zotero.org/users/9384194/items/UM9ZHZPS"],"itemData":{"id":4043,"type":"article-journal","container-title":"International Journal of Methods in Psychiatric Research","DOI":"10.1002/mpr.1759","ISSN":"1049-8931, 1557-0657","issue":"2","journalAbbreviation":"Int J Methods Psychiatr Res","language":"en","page":"e1759","source":"DOI.org (Crossref)","title":"Internet interventions for mental health in university students: A systematic review and meta‐analysis","title-short":"Internet interventions for mental health in university students","volume":"28","author":[{"family":"Harrer","given":"Mathias"},{"family":"Adam","given":"Sophia H."},{"family":"Baumeister","given":"Harald"},{"family":"Cuijpers","given":"Pim"},{"family":"Karyotaki","given":"Eirini"},{"family":"Auerbach","given":"Randy P."},{"family":"Kessler","given":"Ronald C."},{"family":"Bruffaerts","given":"Ronny"},{"family":"Berking","given":"Matthias"},{"family":"Ebert","given":"David D."}],"issued":{"date-parts":[["2019",6]]}}}],"schema":"https://github.com/citation-style-language/schema/raw/master/csl-citation.json"} </w:instrText>
      </w:r>
      <w:r w:rsidR="00562E38" w:rsidRPr="0082370A">
        <w:rPr>
          <w:color w:val="000000"/>
        </w:rPr>
        <w:fldChar w:fldCharType="separate"/>
      </w:r>
      <w:r w:rsidR="00731D97" w:rsidRPr="00731D97">
        <w:t>[34]</w:t>
      </w:r>
      <w:r w:rsidR="00562E38" w:rsidRPr="0082370A">
        <w:rPr>
          <w:color w:val="000000"/>
        </w:rPr>
        <w:fldChar w:fldCharType="end"/>
      </w:r>
      <w:r w:rsidR="00562E38" w:rsidRPr="0082370A">
        <w:rPr>
          <w:color w:val="000000"/>
        </w:rPr>
        <w:t xml:space="preserve"> established that online health programs </w:t>
      </w:r>
      <w:r w:rsidR="001C01EF">
        <w:rPr>
          <w:color w:val="000000"/>
        </w:rPr>
        <w:t>effectively address</w:t>
      </w:r>
      <w:r w:rsidR="00562E38" w:rsidRPr="0082370A">
        <w:rPr>
          <w:color w:val="000000"/>
        </w:rPr>
        <w:t xml:space="preserve"> different health concerns.</w:t>
      </w:r>
    </w:p>
    <w:p w14:paraId="1F8D37EB" w14:textId="0F8E4815" w:rsidR="00562E38" w:rsidRPr="00562E38" w:rsidRDefault="00CC5C72" w:rsidP="00CC5C72">
      <w:pPr>
        <w:tabs>
          <w:tab w:val="left" w:pos="1260"/>
        </w:tabs>
        <w:jc w:val="both"/>
        <w:rPr>
          <w:color w:val="000000"/>
        </w:rPr>
      </w:pPr>
      <w:r w:rsidRPr="0082370A">
        <w:rPr>
          <w:color w:val="000000"/>
        </w:rPr>
        <w:t xml:space="preserve">         </w:t>
      </w:r>
      <w:r w:rsidR="00562E38" w:rsidRPr="0082370A">
        <w:rPr>
          <w:color w:val="000000"/>
        </w:rPr>
        <w:t xml:space="preserve">Due to the study's design, only mean differences in participants' knowledge, attitude, and practices related to COVID-19 prevention </w:t>
      </w:r>
      <w:proofErr w:type="gramStart"/>
      <w:r w:rsidR="00562E38" w:rsidRPr="0082370A">
        <w:rPr>
          <w:color w:val="000000"/>
        </w:rPr>
        <w:t>can be derived</w:t>
      </w:r>
      <w:proofErr w:type="gramEnd"/>
      <w:r w:rsidR="00562E38" w:rsidRPr="0082370A">
        <w:rPr>
          <w:color w:val="000000"/>
        </w:rPr>
        <w:t>, and no causal inferences can be drawn. Additionally, the study enrolled students from only two Higher Education Institutions (HEIs); as a result, the findings may not apply to all college students enrolled at other institutions.</w:t>
      </w:r>
      <w:r w:rsidR="00562E38" w:rsidRPr="00562E38">
        <w:rPr>
          <w:color w:val="000000"/>
        </w:rPr>
        <w:t xml:space="preserve"> </w:t>
      </w:r>
    </w:p>
    <w:p w14:paraId="0656AC10" w14:textId="77777777" w:rsidR="00E619D6" w:rsidRPr="003847DA" w:rsidRDefault="00E619D6" w:rsidP="00E619D6">
      <w:pPr>
        <w:rPr>
          <w:lang w:val="id-ID"/>
        </w:rPr>
      </w:pPr>
    </w:p>
    <w:p w14:paraId="4613A0AD" w14:textId="77777777" w:rsidR="00E619D6" w:rsidRPr="003847DA" w:rsidRDefault="00E619D6" w:rsidP="00E619D6">
      <w:pPr>
        <w:rPr>
          <w:lang w:val="id-ID"/>
        </w:rPr>
      </w:pPr>
    </w:p>
    <w:p w14:paraId="7A07F5E5" w14:textId="39968B36" w:rsidR="00E619D6" w:rsidRPr="003847DA" w:rsidRDefault="00E619D6" w:rsidP="00E619D6">
      <w:pPr>
        <w:numPr>
          <w:ilvl w:val="0"/>
          <w:numId w:val="15"/>
        </w:numPr>
        <w:tabs>
          <w:tab w:val="left" w:pos="426"/>
        </w:tabs>
        <w:ind w:left="426" w:hanging="426"/>
        <w:rPr>
          <w:b/>
          <w:bCs/>
          <w:lang w:val="id-ID"/>
        </w:rPr>
      </w:pPr>
      <w:r w:rsidRPr="003847DA">
        <w:rPr>
          <w:b/>
          <w:bCs/>
          <w:lang w:val="id-ID"/>
        </w:rPr>
        <w:t>CONCLUSION</w:t>
      </w:r>
      <w:r w:rsidRPr="003847DA">
        <w:rPr>
          <w:b/>
          <w:bCs/>
        </w:rPr>
        <w:t xml:space="preserve"> </w:t>
      </w:r>
    </w:p>
    <w:p w14:paraId="1CE704D7" w14:textId="77777777" w:rsidR="00413B81" w:rsidRPr="00413B81" w:rsidRDefault="00413B81" w:rsidP="00C709EA">
      <w:pPr>
        <w:ind w:firstLine="426"/>
        <w:jc w:val="both"/>
      </w:pPr>
      <w:r w:rsidRPr="00413B81">
        <w:rPr>
          <w:rFonts w:eastAsiaTheme="minorHAnsi"/>
          <w:lang w:val="en-PH"/>
        </w:rPr>
        <w:t xml:space="preserve">Disease awareness </w:t>
      </w:r>
      <w:proofErr w:type="gramStart"/>
      <w:r w:rsidRPr="00413B81">
        <w:rPr>
          <w:rFonts w:eastAsiaTheme="minorHAnsi"/>
          <w:lang w:val="en-PH"/>
        </w:rPr>
        <w:t>is considered</w:t>
      </w:r>
      <w:proofErr w:type="gramEnd"/>
      <w:r w:rsidRPr="00413B81">
        <w:rPr>
          <w:rFonts w:eastAsiaTheme="minorHAnsi"/>
          <w:lang w:val="en-PH"/>
        </w:rPr>
        <w:t xml:space="preserve"> the initial step in implementing any health education initiative. Understanding the disease's causes and transmission routes enhances the possibility that people will become more aware of the spread of infectious diseases and the preventative steps to help decrease its transmission. Our study provides evidence that online health education programs improve college students' knowledge and attitudes regarding COVID-19 prevention. However,</w:t>
      </w:r>
      <w:r w:rsidRPr="00413B81">
        <w:rPr>
          <w:color w:val="000000" w:themeColor="text1"/>
        </w:rPr>
        <w:t xml:space="preserve"> they did not practice or adhere to some health measures to prevent its transmission. T</w:t>
      </w:r>
      <w:r w:rsidRPr="00413B81">
        <w:rPr>
          <w:rFonts w:eastAsiaTheme="minorHAnsi"/>
          <w:lang w:val="en-PH"/>
        </w:rPr>
        <w:t>he findings of our study may aid policymakers in identifying target-specific individuals that need health interventions and in developing preventive health education programs for future research.</w:t>
      </w:r>
    </w:p>
    <w:p w14:paraId="1B388F68" w14:textId="77777777" w:rsidR="00354A58" w:rsidRPr="003847DA" w:rsidRDefault="00354A58" w:rsidP="00354A58">
      <w:pPr>
        <w:ind w:firstLine="709"/>
        <w:jc w:val="both"/>
        <w:rPr>
          <w:b/>
          <w:bCs/>
        </w:rPr>
      </w:pPr>
    </w:p>
    <w:p w14:paraId="6524B611" w14:textId="77777777" w:rsidR="00E619D6" w:rsidRPr="003847DA" w:rsidRDefault="00E619D6" w:rsidP="00E619D6">
      <w:pPr>
        <w:rPr>
          <w:b/>
          <w:bCs/>
        </w:rPr>
      </w:pPr>
    </w:p>
    <w:p w14:paraId="4DD45F89" w14:textId="4B4F6349" w:rsidR="00510C32" w:rsidRPr="0016563A" w:rsidRDefault="00E619D6" w:rsidP="0016563A">
      <w:pPr>
        <w:rPr>
          <w:b/>
          <w:lang w:val="pt-BR"/>
        </w:rPr>
      </w:pPr>
      <w:r w:rsidRPr="003847DA">
        <w:rPr>
          <w:rStyle w:val="apple-style-span"/>
          <w:b/>
          <w:lang w:val="pt-BR"/>
        </w:rPr>
        <w:t>ACKNOWLEDGEMENT</w:t>
      </w:r>
      <w:bookmarkStart w:id="0" w:name="_Hlk78354940"/>
    </w:p>
    <w:p w14:paraId="6761EECC" w14:textId="77777777" w:rsidR="00510C32" w:rsidRPr="00510C32" w:rsidRDefault="00510C32" w:rsidP="00510C32">
      <w:pPr>
        <w:tabs>
          <w:tab w:val="left" w:pos="1260"/>
        </w:tabs>
        <w:jc w:val="both"/>
        <w:rPr>
          <w:color w:val="000000"/>
        </w:rPr>
      </w:pPr>
      <w:r w:rsidRPr="00510C32">
        <w:rPr>
          <w:color w:val="000000"/>
        </w:rPr>
        <w:t xml:space="preserve">The authors would like to thank </w:t>
      </w:r>
      <w:r w:rsidRPr="00510C32">
        <w:t xml:space="preserve">Canada ASEAN-SEED </w:t>
      </w:r>
      <w:r w:rsidRPr="00510C32">
        <w:rPr>
          <w:color w:val="0F1111"/>
          <w:shd w:val="clear" w:color="auto" w:fill="FFFFFF"/>
        </w:rPr>
        <w:t xml:space="preserve">(Scholarships and Educational Exchanges for Development) </w:t>
      </w:r>
      <w:r w:rsidRPr="00510C32">
        <w:t xml:space="preserve">research scholarship, Dr. </w:t>
      </w:r>
      <w:proofErr w:type="spellStart"/>
      <w:r w:rsidRPr="00510C32">
        <w:t>Paquito</w:t>
      </w:r>
      <w:proofErr w:type="spellEnd"/>
      <w:r w:rsidRPr="00510C32">
        <w:t xml:space="preserve"> Bernard of the University of Quebec in Montreal, Dr. Christopher </w:t>
      </w:r>
      <w:proofErr w:type="spellStart"/>
      <w:r w:rsidRPr="00510C32">
        <w:t>Caipang</w:t>
      </w:r>
      <w:proofErr w:type="spellEnd"/>
      <w:r w:rsidRPr="00510C32">
        <w:t xml:space="preserve"> of University of San Agustin, </w:t>
      </w:r>
      <w:r w:rsidRPr="00510C32">
        <w:rPr>
          <w:color w:val="000000"/>
        </w:rPr>
        <w:t xml:space="preserve">and Dr. </w:t>
      </w:r>
      <w:proofErr w:type="spellStart"/>
      <w:r w:rsidRPr="00510C32">
        <w:rPr>
          <w:color w:val="000000"/>
        </w:rPr>
        <w:t>Zosimo</w:t>
      </w:r>
      <w:proofErr w:type="spellEnd"/>
      <w:r w:rsidRPr="00510C32">
        <w:rPr>
          <w:color w:val="000000"/>
        </w:rPr>
        <w:t xml:space="preserve"> </w:t>
      </w:r>
      <w:proofErr w:type="spellStart"/>
      <w:r w:rsidRPr="00510C32">
        <w:rPr>
          <w:color w:val="000000"/>
        </w:rPr>
        <w:t>Villarino</w:t>
      </w:r>
      <w:proofErr w:type="spellEnd"/>
      <w:r w:rsidRPr="00510C32">
        <w:rPr>
          <w:color w:val="000000"/>
        </w:rPr>
        <w:t xml:space="preserve"> Sr.</w:t>
      </w:r>
    </w:p>
    <w:p w14:paraId="3312F4C2" w14:textId="77777777" w:rsidR="00510C32" w:rsidRPr="00510C32" w:rsidRDefault="00510C32" w:rsidP="00510C32">
      <w:pPr>
        <w:tabs>
          <w:tab w:val="left" w:pos="1260"/>
        </w:tabs>
        <w:jc w:val="both"/>
        <w:rPr>
          <w:color w:val="000000"/>
        </w:rPr>
      </w:pPr>
    </w:p>
    <w:p w14:paraId="7944787C" w14:textId="051F31B9" w:rsidR="00510C32" w:rsidRPr="00510C32" w:rsidRDefault="0016563A" w:rsidP="00510C32">
      <w:pPr>
        <w:tabs>
          <w:tab w:val="left" w:pos="1260"/>
        </w:tabs>
        <w:jc w:val="both"/>
        <w:rPr>
          <w:b/>
        </w:rPr>
      </w:pPr>
      <w:r w:rsidRPr="00510C32">
        <w:rPr>
          <w:b/>
        </w:rPr>
        <w:t xml:space="preserve">AVAILABILITY OF DATA AND MATERIALS </w:t>
      </w:r>
    </w:p>
    <w:p w14:paraId="52CF2E39" w14:textId="6A57BC4B" w:rsidR="00510C32" w:rsidRPr="00510C32" w:rsidRDefault="00510C32" w:rsidP="00510C32">
      <w:pPr>
        <w:tabs>
          <w:tab w:val="left" w:pos="1260"/>
        </w:tabs>
        <w:jc w:val="both"/>
      </w:pPr>
      <w:r w:rsidRPr="00510C32">
        <w:t xml:space="preserve">The data analyzed during the current study and support the findings are available from the corresponding author [RTV] </w:t>
      </w:r>
      <w:r w:rsidR="00E01825">
        <w:t>up</w:t>
      </w:r>
      <w:r w:rsidRPr="00510C32">
        <w:t>on reasonable request.</w:t>
      </w:r>
    </w:p>
    <w:p w14:paraId="6B3AB4B3" w14:textId="1BF449CE" w:rsidR="00510C32" w:rsidRPr="00510C32" w:rsidRDefault="00510C32" w:rsidP="00510C32">
      <w:pPr>
        <w:pStyle w:val="Pa8"/>
        <w:spacing w:line="240" w:lineRule="auto"/>
        <w:jc w:val="both"/>
        <w:rPr>
          <w:rFonts w:ascii="Calibri" w:hAnsi="Calibri" w:cs="Arial"/>
          <w:sz w:val="20"/>
          <w:szCs w:val="20"/>
          <w:highlight w:val="green"/>
        </w:rPr>
      </w:pPr>
    </w:p>
    <w:p w14:paraId="463330A3" w14:textId="223EE85D" w:rsidR="00510C32" w:rsidRPr="00510C32" w:rsidRDefault="0016563A" w:rsidP="00510C32">
      <w:pPr>
        <w:pStyle w:val="Pa8"/>
        <w:spacing w:line="240" w:lineRule="auto"/>
        <w:jc w:val="both"/>
        <w:rPr>
          <w:color w:val="000000"/>
          <w:sz w:val="20"/>
          <w:szCs w:val="20"/>
        </w:rPr>
      </w:pPr>
      <w:r w:rsidRPr="00510C32">
        <w:rPr>
          <w:b/>
          <w:bCs/>
          <w:color w:val="000000"/>
          <w:sz w:val="20"/>
          <w:szCs w:val="20"/>
        </w:rPr>
        <w:lastRenderedPageBreak/>
        <w:t xml:space="preserve">DECLARATION OF FUNDING SOURCE </w:t>
      </w:r>
    </w:p>
    <w:p w14:paraId="34DDAF90" w14:textId="77777777" w:rsidR="00510C32" w:rsidRPr="00510C32" w:rsidRDefault="00510C32" w:rsidP="00510C32">
      <w:pPr>
        <w:pStyle w:val="Pa8"/>
        <w:spacing w:line="240" w:lineRule="auto"/>
        <w:jc w:val="both"/>
        <w:rPr>
          <w:bCs/>
          <w:color w:val="000000"/>
          <w:sz w:val="20"/>
          <w:szCs w:val="20"/>
        </w:rPr>
      </w:pPr>
      <w:r w:rsidRPr="00510C32">
        <w:rPr>
          <w:color w:val="000000" w:themeColor="text1"/>
          <w:sz w:val="20"/>
          <w:szCs w:val="20"/>
          <w:shd w:val="clear" w:color="auto" w:fill="FFFFFF"/>
        </w:rPr>
        <w:t xml:space="preserve">Department of Science and Technology (DOST) National Research Council of the Philippines (NRCP) Through the Frontier Research Agenda and Capability Building of Researchers in the </w:t>
      </w:r>
      <w:proofErr w:type="spellStart"/>
      <w:r w:rsidRPr="00510C32">
        <w:rPr>
          <w:color w:val="000000" w:themeColor="text1"/>
          <w:sz w:val="20"/>
          <w:szCs w:val="20"/>
          <w:shd w:val="clear" w:color="auto" w:fill="FFFFFF"/>
        </w:rPr>
        <w:t>Visayas</w:t>
      </w:r>
      <w:proofErr w:type="spellEnd"/>
      <w:r w:rsidRPr="00510C32">
        <w:rPr>
          <w:color w:val="000000" w:themeColor="text1"/>
          <w:sz w:val="20"/>
          <w:szCs w:val="20"/>
          <w:shd w:val="clear" w:color="auto" w:fill="FFFFFF"/>
        </w:rPr>
        <w:t xml:space="preserve">: NRCP Science and Technology Experts Pool (NSTEP) | NSTEP </w:t>
      </w:r>
      <w:proofErr w:type="spellStart"/>
      <w:r w:rsidRPr="00510C32">
        <w:rPr>
          <w:color w:val="000000" w:themeColor="text1"/>
          <w:sz w:val="20"/>
          <w:szCs w:val="20"/>
          <w:shd w:val="clear" w:color="auto" w:fill="FFFFFF"/>
        </w:rPr>
        <w:t>Visayas</w:t>
      </w:r>
      <w:proofErr w:type="spellEnd"/>
      <w:r w:rsidRPr="00510C32">
        <w:rPr>
          <w:color w:val="000000" w:themeColor="text1"/>
          <w:sz w:val="20"/>
          <w:szCs w:val="20"/>
          <w:shd w:val="clear" w:color="auto" w:fill="FFFFFF"/>
        </w:rPr>
        <w:t xml:space="preserve"> </w:t>
      </w:r>
      <w:r w:rsidRPr="00510C32">
        <w:rPr>
          <w:bCs/>
          <w:color w:val="000000"/>
          <w:sz w:val="20"/>
          <w:szCs w:val="20"/>
        </w:rPr>
        <w:t>funded this research project.</w:t>
      </w:r>
    </w:p>
    <w:p w14:paraId="37A4F2B1" w14:textId="7E166BD5" w:rsidR="00510C32" w:rsidRDefault="00510C32" w:rsidP="00510C32">
      <w:pPr>
        <w:pStyle w:val="Pa0"/>
        <w:spacing w:line="240" w:lineRule="auto"/>
        <w:jc w:val="both"/>
        <w:rPr>
          <w:b/>
          <w:bCs/>
          <w:color w:val="000000"/>
          <w:sz w:val="20"/>
          <w:szCs w:val="20"/>
        </w:rPr>
      </w:pPr>
    </w:p>
    <w:p w14:paraId="3D33C1BD" w14:textId="77777777" w:rsidR="000C4CD6" w:rsidRPr="000C4CD6" w:rsidRDefault="000C4CD6" w:rsidP="000C4CD6"/>
    <w:p w14:paraId="4DFF3FCD" w14:textId="7CF605F6" w:rsidR="00510C32" w:rsidRPr="00510C32" w:rsidRDefault="0016563A" w:rsidP="00510C32">
      <w:pPr>
        <w:pStyle w:val="Pa0"/>
        <w:spacing w:line="240" w:lineRule="auto"/>
        <w:jc w:val="both"/>
        <w:rPr>
          <w:color w:val="000000"/>
          <w:sz w:val="20"/>
          <w:szCs w:val="20"/>
        </w:rPr>
      </w:pPr>
      <w:r w:rsidRPr="00510C32">
        <w:rPr>
          <w:b/>
          <w:bCs/>
          <w:color w:val="000000"/>
          <w:sz w:val="20"/>
          <w:szCs w:val="20"/>
        </w:rPr>
        <w:t xml:space="preserve">DECLARATION OF CONFLICT OF INTEREST </w:t>
      </w:r>
    </w:p>
    <w:p w14:paraId="543F6A99" w14:textId="77777777" w:rsidR="00510C32" w:rsidRPr="00510C32" w:rsidRDefault="00510C32" w:rsidP="00510C32">
      <w:pPr>
        <w:pStyle w:val="Pa8"/>
        <w:spacing w:line="240" w:lineRule="auto"/>
        <w:jc w:val="both"/>
        <w:rPr>
          <w:color w:val="000000"/>
          <w:sz w:val="20"/>
          <w:szCs w:val="20"/>
        </w:rPr>
      </w:pPr>
      <w:r w:rsidRPr="00510C32">
        <w:rPr>
          <w:color w:val="000000"/>
          <w:sz w:val="20"/>
          <w:szCs w:val="20"/>
        </w:rPr>
        <w:t xml:space="preserve">The authors declare no conflict of interest. </w:t>
      </w:r>
    </w:p>
    <w:p w14:paraId="54AE7F84" w14:textId="55E96FE4" w:rsidR="00354A58" w:rsidRPr="003847DA" w:rsidRDefault="00354A58" w:rsidP="00510C32">
      <w:pPr>
        <w:jc w:val="both"/>
        <w:rPr>
          <w:rStyle w:val="apple-style-span"/>
          <w:bCs/>
          <w:lang w:val="pt-BR"/>
        </w:rPr>
      </w:pPr>
    </w:p>
    <w:bookmarkEnd w:id="0"/>
    <w:p w14:paraId="2796523A" w14:textId="575BED5F" w:rsidR="00E619D6" w:rsidRPr="003847DA" w:rsidRDefault="00E619D6" w:rsidP="00E619D6">
      <w:pPr>
        <w:rPr>
          <w:lang w:val="pt-BR"/>
        </w:rPr>
      </w:pPr>
      <w:r w:rsidRPr="003847DA">
        <w:rPr>
          <w:rStyle w:val="apple-style-span"/>
          <w:b/>
          <w:lang w:val="pt-BR"/>
        </w:rPr>
        <w:t xml:space="preserve">REFERENCES </w:t>
      </w:r>
    </w:p>
    <w:p w14:paraId="64ACDBB4" w14:textId="77777777" w:rsidR="00225739" w:rsidRPr="00225739" w:rsidRDefault="0040458E" w:rsidP="00171417">
      <w:pPr>
        <w:pStyle w:val="Bibliography"/>
        <w:jc w:val="both"/>
      </w:pPr>
      <w:r w:rsidRPr="0040458E">
        <w:rPr>
          <w:noProof/>
        </w:rPr>
        <w:fldChar w:fldCharType="begin"/>
      </w:r>
      <w:r w:rsidR="00225739">
        <w:rPr>
          <w:noProof/>
        </w:rPr>
        <w:instrText xml:space="preserve"> ADDIN ZOTERO_BIBL {"uncited":[],"omitted":[],"custom":[]} CSL_BIBLIOGRAPHY </w:instrText>
      </w:r>
      <w:r w:rsidRPr="0040458E">
        <w:rPr>
          <w:noProof/>
        </w:rPr>
        <w:fldChar w:fldCharType="separate"/>
      </w:r>
      <w:r w:rsidR="00225739" w:rsidRPr="00225739">
        <w:t>[1]</w:t>
      </w:r>
      <w:r w:rsidR="00225739" w:rsidRPr="00225739">
        <w:tab/>
        <w:t>M. K. Al-</w:t>
      </w:r>
      <w:proofErr w:type="spellStart"/>
      <w:r w:rsidR="00225739" w:rsidRPr="00225739">
        <w:t>Hanawi</w:t>
      </w:r>
      <w:proofErr w:type="spellEnd"/>
      <w:r w:rsidR="00225739" w:rsidRPr="00225739">
        <w:t xml:space="preserve"> </w:t>
      </w:r>
      <w:r w:rsidR="00225739" w:rsidRPr="00225739">
        <w:rPr>
          <w:i/>
          <w:iCs/>
        </w:rPr>
        <w:t>et al.</w:t>
      </w:r>
      <w:r w:rsidR="00225739" w:rsidRPr="00225739">
        <w:t xml:space="preserve">, “Knowledge, Attitude and Practice </w:t>
      </w:r>
      <w:proofErr w:type="gramStart"/>
      <w:r w:rsidR="00225739" w:rsidRPr="00225739">
        <w:t>Toward</w:t>
      </w:r>
      <w:proofErr w:type="gramEnd"/>
      <w:r w:rsidR="00225739" w:rsidRPr="00225739">
        <w:t xml:space="preserve"> COVID-19 Among the Public in the Kingdom of Saudi Arabia: A Cross-Sectional Study,” </w:t>
      </w:r>
      <w:r w:rsidR="00225739" w:rsidRPr="00225739">
        <w:rPr>
          <w:i/>
          <w:iCs/>
        </w:rPr>
        <w:t>Front. Public Health</w:t>
      </w:r>
      <w:r w:rsidR="00225739" w:rsidRPr="00225739">
        <w:t xml:space="preserve">, vol. 0, 2020, </w:t>
      </w:r>
      <w:proofErr w:type="spellStart"/>
      <w:r w:rsidR="00225739" w:rsidRPr="00225739">
        <w:t>doi</w:t>
      </w:r>
      <w:proofErr w:type="spellEnd"/>
      <w:r w:rsidR="00225739" w:rsidRPr="00225739">
        <w:t>: 10.3389/fpubh.2020.00217.</w:t>
      </w:r>
    </w:p>
    <w:p w14:paraId="567571D0" w14:textId="77777777" w:rsidR="00225739" w:rsidRPr="00225739" w:rsidRDefault="00225739" w:rsidP="00171417">
      <w:pPr>
        <w:pStyle w:val="Bibliography"/>
        <w:jc w:val="both"/>
      </w:pPr>
      <w:r w:rsidRPr="00225739">
        <w:t>[2]</w:t>
      </w:r>
      <w:r w:rsidRPr="00225739">
        <w:tab/>
        <w:t xml:space="preserve">J. </w:t>
      </w:r>
      <w:proofErr w:type="spellStart"/>
      <w:r w:rsidRPr="00225739">
        <w:t>Riou</w:t>
      </w:r>
      <w:proofErr w:type="spellEnd"/>
      <w:r w:rsidRPr="00225739">
        <w:t xml:space="preserve"> and C. L. </w:t>
      </w:r>
      <w:proofErr w:type="spellStart"/>
      <w:r w:rsidRPr="00225739">
        <w:t>Althaus</w:t>
      </w:r>
      <w:proofErr w:type="spellEnd"/>
      <w:r w:rsidRPr="00225739">
        <w:t xml:space="preserve">, “Pattern of early human-to-human transmission of Wuhan 2019 novel coronavirus (2019-nCoV), December 2019 to January 2020,” </w:t>
      </w:r>
      <w:proofErr w:type="spellStart"/>
      <w:r w:rsidRPr="00225739">
        <w:rPr>
          <w:i/>
          <w:iCs/>
        </w:rPr>
        <w:t>Eurosurveillance</w:t>
      </w:r>
      <w:proofErr w:type="spellEnd"/>
      <w:r w:rsidRPr="00225739">
        <w:t xml:space="preserve">, vol. 25, no. 4, Jan. 2020, </w:t>
      </w:r>
      <w:proofErr w:type="spellStart"/>
      <w:r w:rsidRPr="00225739">
        <w:t>doi</w:t>
      </w:r>
      <w:proofErr w:type="spellEnd"/>
      <w:r w:rsidRPr="00225739">
        <w:t>: 10.2807/1560-7917.ES.2020.25.4.2000058.</w:t>
      </w:r>
    </w:p>
    <w:p w14:paraId="729C2834" w14:textId="77777777" w:rsidR="00225739" w:rsidRPr="00225739" w:rsidRDefault="00225739" w:rsidP="00171417">
      <w:pPr>
        <w:pStyle w:val="Bibliography"/>
        <w:jc w:val="both"/>
      </w:pPr>
      <w:r w:rsidRPr="00225739">
        <w:t>[3]</w:t>
      </w:r>
      <w:r w:rsidRPr="00225739">
        <w:tab/>
        <w:t xml:space="preserve">CDC, “COVID-19 and Your Health,” </w:t>
      </w:r>
      <w:r w:rsidRPr="00225739">
        <w:rPr>
          <w:i/>
          <w:iCs/>
        </w:rPr>
        <w:t>Centers for Disease Control and Prevention</w:t>
      </w:r>
      <w:r w:rsidRPr="00225739">
        <w:t>, Feb. 11, 2020. https://www.cdc.gov/coronavirus/2019-ncov/your-health/about-covid-19/basics-covid-19.html (accessed Aug. 05, 2021).</w:t>
      </w:r>
    </w:p>
    <w:p w14:paraId="6BBF4574" w14:textId="77777777" w:rsidR="00225739" w:rsidRPr="00225739" w:rsidRDefault="00225739" w:rsidP="00171417">
      <w:pPr>
        <w:pStyle w:val="Bibliography"/>
        <w:jc w:val="both"/>
      </w:pPr>
      <w:r w:rsidRPr="00225739">
        <w:t>[4]</w:t>
      </w:r>
      <w:r w:rsidRPr="00225739">
        <w:tab/>
        <w:t xml:space="preserve">C. Wang </w:t>
      </w:r>
      <w:r w:rsidRPr="00225739">
        <w:rPr>
          <w:i/>
          <w:iCs/>
        </w:rPr>
        <w:t>et al.</w:t>
      </w:r>
      <w:r w:rsidRPr="00225739">
        <w:t xml:space="preserve">, “The impact of COVID-19 pandemic on physical and mental health of Asians: A study of seven middle-income countries in Asia,” </w:t>
      </w:r>
      <w:r w:rsidRPr="00225739">
        <w:rPr>
          <w:i/>
          <w:iCs/>
        </w:rPr>
        <w:t xml:space="preserve">PLOS </w:t>
      </w:r>
      <w:proofErr w:type="gramStart"/>
      <w:r w:rsidRPr="00225739">
        <w:rPr>
          <w:i/>
          <w:iCs/>
        </w:rPr>
        <w:t>ONE</w:t>
      </w:r>
      <w:proofErr w:type="gramEnd"/>
      <w:r w:rsidRPr="00225739">
        <w:t xml:space="preserve">, vol. 16, no. 2, p. e0246824, Feb. 2021, </w:t>
      </w:r>
      <w:proofErr w:type="spellStart"/>
      <w:r w:rsidRPr="00225739">
        <w:t>doi</w:t>
      </w:r>
      <w:proofErr w:type="spellEnd"/>
      <w:r w:rsidRPr="00225739">
        <w:t>: 10.1371/journal.pone.0246824.</w:t>
      </w:r>
    </w:p>
    <w:p w14:paraId="23D86901" w14:textId="77777777" w:rsidR="00225739" w:rsidRPr="00225739" w:rsidRDefault="00225739" w:rsidP="00171417">
      <w:pPr>
        <w:pStyle w:val="Bibliography"/>
        <w:jc w:val="both"/>
      </w:pPr>
      <w:r w:rsidRPr="00225739">
        <w:t>[5]</w:t>
      </w:r>
      <w:r w:rsidRPr="00225739">
        <w:tab/>
        <w:t xml:space="preserve">D. Tang </w:t>
      </w:r>
      <w:r w:rsidRPr="00225739">
        <w:rPr>
          <w:i/>
          <w:iCs/>
        </w:rPr>
        <w:t>et al.</w:t>
      </w:r>
      <w:r w:rsidRPr="00225739">
        <w:t xml:space="preserve">, “Prevention and control strategies for emergency, limited-term, and elective operations in pediatric surgery during the epidemic period of COVID-19,” </w:t>
      </w:r>
      <w:r w:rsidRPr="00225739">
        <w:rPr>
          <w:i/>
          <w:iCs/>
        </w:rPr>
        <w:t xml:space="preserve">World J. </w:t>
      </w:r>
      <w:proofErr w:type="spellStart"/>
      <w:r w:rsidRPr="00225739">
        <w:rPr>
          <w:i/>
          <w:iCs/>
        </w:rPr>
        <w:t>Pediatr</w:t>
      </w:r>
      <w:proofErr w:type="spellEnd"/>
      <w:r w:rsidRPr="00225739">
        <w:rPr>
          <w:i/>
          <w:iCs/>
        </w:rPr>
        <w:t>. Surg.</w:t>
      </w:r>
      <w:r w:rsidRPr="00225739">
        <w:t xml:space="preserve">, vol. 3, no. 1, p. e000122, Mar. 2020, </w:t>
      </w:r>
      <w:proofErr w:type="spellStart"/>
      <w:r w:rsidRPr="00225739">
        <w:t>doi</w:t>
      </w:r>
      <w:proofErr w:type="spellEnd"/>
      <w:r w:rsidRPr="00225739">
        <w:t>: 10.1136/wjps-2020-000122.</w:t>
      </w:r>
    </w:p>
    <w:p w14:paraId="40411A90" w14:textId="77777777" w:rsidR="00225739" w:rsidRPr="00225739" w:rsidRDefault="00225739" w:rsidP="00171417">
      <w:pPr>
        <w:pStyle w:val="Bibliography"/>
        <w:jc w:val="both"/>
      </w:pPr>
      <w:r w:rsidRPr="00225739">
        <w:t>[6]</w:t>
      </w:r>
      <w:r w:rsidRPr="00225739">
        <w:tab/>
        <w:t xml:space="preserve">A. </w:t>
      </w:r>
      <w:proofErr w:type="spellStart"/>
      <w:r w:rsidRPr="00225739">
        <w:t>Aristovnik</w:t>
      </w:r>
      <w:proofErr w:type="spellEnd"/>
      <w:r w:rsidRPr="00225739">
        <w:t xml:space="preserve">, D. </w:t>
      </w:r>
      <w:proofErr w:type="spellStart"/>
      <w:r w:rsidRPr="00225739">
        <w:t>Keržič</w:t>
      </w:r>
      <w:proofErr w:type="spellEnd"/>
      <w:r w:rsidRPr="00225739">
        <w:t xml:space="preserve">, D. </w:t>
      </w:r>
      <w:proofErr w:type="spellStart"/>
      <w:r w:rsidRPr="00225739">
        <w:t>Ravšelj</w:t>
      </w:r>
      <w:proofErr w:type="spellEnd"/>
      <w:r w:rsidRPr="00225739">
        <w:t xml:space="preserve">, N. </w:t>
      </w:r>
      <w:proofErr w:type="spellStart"/>
      <w:r w:rsidRPr="00225739">
        <w:t>Tomaževič</w:t>
      </w:r>
      <w:proofErr w:type="spellEnd"/>
      <w:r w:rsidRPr="00225739">
        <w:t xml:space="preserve">, and L. </w:t>
      </w:r>
      <w:proofErr w:type="spellStart"/>
      <w:r w:rsidRPr="00225739">
        <w:t>Umek</w:t>
      </w:r>
      <w:proofErr w:type="spellEnd"/>
      <w:r w:rsidRPr="00225739">
        <w:t xml:space="preserve">, “Impacts of the COVID-19 Pandemic on Life of Higher Education Students: A Global Perspective,” SOCIAL SCIENCES, preprint, Aug. 2020. </w:t>
      </w:r>
      <w:proofErr w:type="spellStart"/>
      <w:proofErr w:type="gramStart"/>
      <w:r w:rsidRPr="00225739">
        <w:t>doi</w:t>
      </w:r>
      <w:proofErr w:type="spellEnd"/>
      <w:proofErr w:type="gramEnd"/>
      <w:r w:rsidRPr="00225739">
        <w:t>: 10.20944/preprints202008.0246.v2.</w:t>
      </w:r>
    </w:p>
    <w:p w14:paraId="1CA4DFEE" w14:textId="77777777" w:rsidR="00225739" w:rsidRPr="00225739" w:rsidRDefault="00225739" w:rsidP="00171417">
      <w:pPr>
        <w:pStyle w:val="Bibliography"/>
        <w:jc w:val="both"/>
      </w:pPr>
      <w:r w:rsidRPr="00225739">
        <w:t>[7]</w:t>
      </w:r>
      <w:r w:rsidRPr="00225739">
        <w:tab/>
        <w:t xml:space="preserve">A. </w:t>
      </w:r>
      <w:proofErr w:type="spellStart"/>
      <w:r w:rsidRPr="00225739">
        <w:t>Benfante</w:t>
      </w:r>
      <w:proofErr w:type="spellEnd"/>
      <w:r w:rsidRPr="00225739">
        <w:t xml:space="preserve">, M. Di </w:t>
      </w:r>
      <w:proofErr w:type="spellStart"/>
      <w:r w:rsidRPr="00225739">
        <w:t>Tella</w:t>
      </w:r>
      <w:proofErr w:type="spellEnd"/>
      <w:r w:rsidRPr="00225739">
        <w:t xml:space="preserve">, A. Romeo, and L. </w:t>
      </w:r>
      <w:proofErr w:type="spellStart"/>
      <w:r w:rsidRPr="00225739">
        <w:t>Castelli</w:t>
      </w:r>
      <w:proofErr w:type="spellEnd"/>
      <w:r w:rsidRPr="00225739">
        <w:t xml:space="preserve">, “Traumatic Stress in Healthcare Workers </w:t>
      </w:r>
      <w:proofErr w:type="gramStart"/>
      <w:r w:rsidRPr="00225739">
        <w:t>During</w:t>
      </w:r>
      <w:proofErr w:type="gramEnd"/>
      <w:r w:rsidRPr="00225739">
        <w:t xml:space="preserve"> COVID-19 Pandemic: A Review of the Immediate Impact,” </w:t>
      </w:r>
      <w:r w:rsidRPr="00225739">
        <w:rPr>
          <w:i/>
          <w:iCs/>
        </w:rPr>
        <w:t>Front. Psychol.</w:t>
      </w:r>
      <w:r w:rsidRPr="00225739">
        <w:t xml:space="preserve">, vol. 11, p. 569935, Oct. 2020, </w:t>
      </w:r>
      <w:proofErr w:type="spellStart"/>
      <w:r w:rsidRPr="00225739">
        <w:t>doi</w:t>
      </w:r>
      <w:proofErr w:type="spellEnd"/>
      <w:r w:rsidRPr="00225739">
        <w:t>: 10.3389/fpsyg.2020.569935.</w:t>
      </w:r>
    </w:p>
    <w:p w14:paraId="7C2F6A39" w14:textId="77777777" w:rsidR="00225739" w:rsidRPr="00225739" w:rsidRDefault="00225739" w:rsidP="00171417">
      <w:pPr>
        <w:pStyle w:val="Bibliography"/>
        <w:jc w:val="both"/>
      </w:pPr>
      <w:r w:rsidRPr="00225739">
        <w:t>[8]</w:t>
      </w:r>
      <w:r w:rsidRPr="00225739">
        <w:tab/>
        <w:t xml:space="preserve">R. T. </w:t>
      </w:r>
      <w:proofErr w:type="spellStart"/>
      <w:r w:rsidRPr="00225739">
        <w:t>Villarino</w:t>
      </w:r>
      <w:proofErr w:type="spellEnd"/>
      <w:r w:rsidRPr="00225739">
        <w:t xml:space="preserve">, M. L. </w:t>
      </w:r>
      <w:proofErr w:type="spellStart"/>
      <w:r w:rsidRPr="00225739">
        <w:t>Villarino</w:t>
      </w:r>
      <w:proofErr w:type="spellEnd"/>
      <w:r w:rsidRPr="00225739">
        <w:t xml:space="preserve">, M. C. Temblor, P. Bernard, and M. </w:t>
      </w:r>
      <w:proofErr w:type="spellStart"/>
      <w:r w:rsidRPr="00225739">
        <w:t>Plaisent</w:t>
      </w:r>
      <w:proofErr w:type="spellEnd"/>
      <w:r w:rsidRPr="00225739">
        <w:t>, “Association between Physical Health and Well-being: A Quasi-experimental Study,” vol. 21, no. 03, p. 7, 2022.</w:t>
      </w:r>
    </w:p>
    <w:p w14:paraId="420B18D3" w14:textId="77777777" w:rsidR="00225739" w:rsidRPr="00225739" w:rsidRDefault="00225739" w:rsidP="00171417">
      <w:pPr>
        <w:pStyle w:val="Bibliography"/>
        <w:jc w:val="both"/>
      </w:pPr>
      <w:r w:rsidRPr="00225739">
        <w:t>[9]</w:t>
      </w:r>
      <w:r w:rsidRPr="00225739">
        <w:tab/>
        <w:t xml:space="preserve">D. </w:t>
      </w:r>
      <w:proofErr w:type="spellStart"/>
      <w:r w:rsidRPr="00225739">
        <w:t>Podder</w:t>
      </w:r>
      <w:proofErr w:type="spellEnd"/>
      <w:r w:rsidRPr="00225739">
        <w:t xml:space="preserve">, B. Paul, A. </w:t>
      </w:r>
      <w:proofErr w:type="spellStart"/>
      <w:r w:rsidRPr="00225739">
        <w:t>Dasgupta</w:t>
      </w:r>
      <w:proofErr w:type="spellEnd"/>
      <w:r w:rsidRPr="00225739">
        <w:t xml:space="preserve">, L. </w:t>
      </w:r>
      <w:proofErr w:type="spellStart"/>
      <w:r w:rsidRPr="00225739">
        <w:t>Bandyopadhyay</w:t>
      </w:r>
      <w:proofErr w:type="spellEnd"/>
      <w:r w:rsidRPr="00225739">
        <w:t xml:space="preserve">, A. Pal, and S. Roy, “Community perception and risk reduction practices toward malaria and dengue: A mixed-method study in slums of </w:t>
      </w:r>
      <w:proofErr w:type="spellStart"/>
      <w:r w:rsidRPr="00225739">
        <w:t>Chetla</w:t>
      </w:r>
      <w:proofErr w:type="spellEnd"/>
      <w:r w:rsidRPr="00225739">
        <w:t xml:space="preserve">, Kolkata,” </w:t>
      </w:r>
      <w:r w:rsidRPr="00225739">
        <w:rPr>
          <w:i/>
          <w:iCs/>
        </w:rPr>
        <w:t>Indian J. Public Health</w:t>
      </w:r>
      <w:r w:rsidRPr="00225739">
        <w:t xml:space="preserve">, vol. 63, no. 3, p. 178, 2019, </w:t>
      </w:r>
      <w:proofErr w:type="spellStart"/>
      <w:r w:rsidRPr="00225739">
        <w:t>doi</w:t>
      </w:r>
      <w:proofErr w:type="spellEnd"/>
      <w:r w:rsidRPr="00225739">
        <w:t>: 10.4103/ijph.IJPH_321_19.</w:t>
      </w:r>
    </w:p>
    <w:p w14:paraId="3EC423E7" w14:textId="77777777" w:rsidR="00225739" w:rsidRPr="00225739" w:rsidRDefault="00225739" w:rsidP="00171417">
      <w:pPr>
        <w:pStyle w:val="Bibliography"/>
        <w:jc w:val="both"/>
      </w:pPr>
      <w:r w:rsidRPr="00225739">
        <w:t>[10]</w:t>
      </w:r>
      <w:r w:rsidRPr="00225739">
        <w:tab/>
        <w:t xml:space="preserve">W. J. S. M. </w:t>
      </w:r>
      <w:proofErr w:type="spellStart"/>
      <w:r w:rsidRPr="00225739">
        <w:t>Billote</w:t>
      </w:r>
      <w:proofErr w:type="spellEnd"/>
      <w:r w:rsidRPr="00225739">
        <w:t xml:space="preserve"> </w:t>
      </w:r>
      <w:r w:rsidRPr="00225739">
        <w:rPr>
          <w:i/>
          <w:iCs/>
        </w:rPr>
        <w:t>et al.</w:t>
      </w:r>
      <w:r w:rsidRPr="00225739">
        <w:t xml:space="preserve">, “Depression, Anxiety, and Stress among Students in an Island Higher Education Institution amidst the COVID-19 Pandemic,” </w:t>
      </w:r>
      <w:r w:rsidRPr="00225739">
        <w:rPr>
          <w:i/>
          <w:iCs/>
        </w:rPr>
        <w:t>J. Posit. Sch. Psychol.</w:t>
      </w:r>
      <w:r w:rsidRPr="00225739">
        <w:t>, pp. 1501–1514, Apr. 2022.</w:t>
      </w:r>
    </w:p>
    <w:p w14:paraId="05A2392D" w14:textId="77777777" w:rsidR="00225739" w:rsidRPr="00225739" w:rsidRDefault="00225739" w:rsidP="00171417">
      <w:pPr>
        <w:pStyle w:val="Bibliography"/>
        <w:jc w:val="both"/>
      </w:pPr>
      <w:r w:rsidRPr="00225739">
        <w:t>[11]</w:t>
      </w:r>
      <w:r w:rsidRPr="00225739">
        <w:tab/>
        <w:t xml:space="preserve">W. Cao </w:t>
      </w:r>
      <w:r w:rsidRPr="00225739">
        <w:rPr>
          <w:i/>
          <w:iCs/>
        </w:rPr>
        <w:t>et al.</w:t>
      </w:r>
      <w:r w:rsidRPr="00225739">
        <w:t xml:space="preserve">, “The psychological impact of the COVID-19 epidemic on college students in China,” </w:t>
      </w:r>
      <w:r w:rsidRPr="00225739">
        <w:rPr>
          <w:i/>
          <w:iCs/>
        </w:rPr>
        <w:t>Psychiatry Res.</w:t>
      </w:r>
      <w:r w:rsidRPr="00225739">
        <w:t xml:space="preserve">, vol. 287, p. 112934, May 2020, </w:t>
      </w:r>
      <w:proofErr w:type="spellStart"/>
      <w:r w:rsidRPr="00225739">
        <w:t>doi</w:t>
      </w:r>
      <w:proofErr w:type="spellEnd"/>
      <w:r w:rsidRPr="00225739">
        <w:t>: 10.1016/j.psychres.2020.112934.</w:t>
      </w:r>
    </w:p>
    <w:p w14:paraId="3B78282C" w14:textId="77777777" w:rsidR="00225739" w:rsidRPr="00225739" w:rsidRDefault="00225739" w:rsidP="00171417">
      <w:pPr>
        <w:pStyle w:val="Bibliography"/>
        <w:jc w:val="both"/>
      </w:pPr>
      <w:r w:rsidRPr="00225739">
        <w:t>[12]</w:t>
      </w:r>
      <w:r w:rsidRPr="00225739">
        <w:tab/>
        <w:t xml:space="preserve">R. T. </w:t>
      </w:r>
      <w:proofErr w:type="spellStart"/>
      <w:r w:rsidRPr="00225739">
        <w:t>Villarino</w:t>
      </w:r>
      <w:proofErr w:type="spellEnd"/>
      <w:r w:rsidRPr="00225739">
        <w:t xml:space="preserve">, </w:t>
      </w:r>
      <w:r w:rsidRPr="00225739">
        <w:rPr>
          <w:i/>
          <w:iCs/>
        </w:rPr>
        <w:t>Health and Well-being Program for College Students</w:t>
      </w:r>
      <w:r w:rsidRPr="00225739">
        <w:t>. 2020.</w:t>
      </w:r>
    </w:p>
    <w:p w14:paraId="0BA9FC00" w14:textId="77777777" w:rsidR="00225739" w:rsidRPr="00225739" w:rsidRDefault="00225739" w:rsidP="00171417">
      <w:pPr>
        <w:pStyle w:val="Bibliography"/>
        <w:jc w:val="both"/>
      </w:pPr>
      <w:r w:rsidRPr="00225739">
        <w:t>[13]</w:t>
      </w:r>
      <w:r w:rsidRPr="00225739">
        <w:tab/>
        <w:t xml:space="preserve">Bernard et al., “Climate change: the next game changer for sport and exercise psychology | </w:t>
      </w:r>
      <w:proofErr w:type="spellStart"/>
      <w:r w:rsidRPr="00225739">
        <w:t>SpringerLink</w:t>
      </w:r>
      <w:proofErr w:type="spellEnd"/>
      <w:r w:rsidRPr="00225739">
        <w:t>,” 2022. https://link.springer.com/article/10.1007/s12662-022-00819-w (accessed Nov. 14, 2022).</w:t>
      </w:r>
    </w:p>
    <w:p w14:paraId="13354194" w14:textId="77777777" w:rsidR="00225739" w:rsidRPr="00225739" w:rsidRDefault="00225739" w:rsidP="00171417">
      <w:pPr>
        <w:pStyle w:val="Bibliography"/>
        <w:jc w:val="both"/>
      </w:pPr>
      <w:r w:rsidRPr="00225739">
        <w:t>[14]</w:t>
      </w:r>
      <w:r w:rsidRPr="00225739">
        <w:tab/>
        <w:t xml:space="preserve">R. T. </w:t>
      </w:r>
      <w:proofErr w:type="spellStart"/>
      <w:r w:rsidRPr="00225739">
        <w:t>Villarino</w:t>
      </w:r>
      <w:proofErr w:type="spellEnd"/>
      <w:r w:rsidRPr="00225739">
        <w:t xml:space="preserve"> and M. L. </w:t>
      </w:r>
      <w:proofErr w:type="spellStart"/>
      <w:r w:rsidRPr="00225739">
        <w:t>Vi̇llarino</w:t>
      </w:r>
      <w:proofErr w:type="spellEnd"/>
      <w:r w:rsidRPr="00225739">
        <w:t xml:space="preserve">, “Designing an online typhoon mitigation program,” </w:t>
      </w:r>
      <w:r w:rsidRPr="00225739">
        <w:rPr>
          <w:i/>
          <w:iCs/>
        </w:rPr>
        <w:t xml:space="preserve">Acad. </w:t>
      </w:r>
      <w:proofErr w:type="spellStart"/>
      <w:r w:rsidRPr="00225739">
        <w:rPr>
          <w:i/>
          <w:iCs/>
        </w:rPr>
        <w:t>Platf</w:t>
      </w:r>
      <w:proofErr w:type="spellEnd"/>
      <w:r w:rsidRPr="00225739">
        <w:rPr>
          <w:i/>
          <w:iCs/>
        </w:rPr>
        <w:t xml:space="preserve">. J. Nat. Hazards Disaster </w:t>
      </w:r>
      <w:proofErr w:type="spellStart"/>
      <w:r w:rsidRPr="00225739">
        <w:rPr>
          <w:i/>
          <w:iCs/>
        </w:rPr>
        <w:t>Manag</w:t>
      </w:r>
      <w:proofErr w:type="spellEnd"/>
      <w:r w:rsidRPr="00225739">
        <w:rPr>
          <w:i/>
          <w:iCs/>
        </w:rPr>
        <w:t>.</w:t>
      </w:r>
      <w:r w:rsidRPr="00225739">
        <w:t xml:space="preserve">, Dec. 2022, </w:t>
      </w:r>
      <w:proofErr w:type="spellStart"/>
      <w:r w:rsidRPr="00225739">
        <w:t>doi</w:t>
      </w:r>
      <w:proofErr w:type="spellEnd"/>
      <w:r w:rsidRPr="00225739">
        <w:t>: 10.52114/apjhad.1187249.</w:t>
      </w:r>
    </w:p>
    <w:p w14:paraId="7D21795E" w14:textId="77777777" w:rsidR="00225739" w:rsidRPr="00225739" w:rsidRDefault="00225739" w:rsidP="00171417">
      <w:pPr>
        <w:pStyle w:val="Bibliography"/>
        <w:jc w:val="both"/>
      </w:pPr>
      <w:r w:rsidRPr="00225739">
        <w:t>[15]</w:t>
      </w:r>
      <w:r w:rsidRPr="00225739">
        <w:tab/>
        <w:t xml:space="preserve">R. T. H. </w:t>
      </w:r>
      <w:proofErr w:type="spellStart"/>
      <w:r w:rsidRPr="00225739">
        <w:t>Villarino</w:t>
      </w:r>
      <w:proofErr w:type="spellEnd"/>
      <w:r w:rsidRPr="00225739">
        <w:t xml:space="preserve"> </w:t>
      </w:r>
      <w:r w:rsidRPr="00225739">
        <w:rPr>
          <w:i/>
          <w:iCs/>
        </w:rPr>
        <w:t>et al.</w:t>
      </w:r>
      <w:r w:rsidRPr="00225739">
        <w:t xml:space="preserve">, “Evaluating an online well-being program for college students during the COVID-19 pandemic,” </w:t>
      </w:r>
      <w:r w:rsidRPr="00225739">
        <w:rPr>
          <w:i/>
          <w:iCs/>
        </w:rPr>
        <w:t>J. Health Sci.</w:t>
      </w:r>
      <w:r w:rsidRPr="00225739">
        <w:t xml:space="preserve">, Apr. 2022, </w:t>
      </w:r>
      <w:proofErr w:type="spellStart"/>
      <w:r w:rsidRPr="00225739">
        <w:t>doi</w:t>
      </w:r>
      <w:proofErr w:type="spellEnd"/>
      <w:r w:rsidRPr="00225739">
        <w:t>: 10.17532/jhsci.2022.1631.</w:t>
      </w:r>
    </w:p>
    <w:p w14:paraId="083A0A9B" w14:textId="77777777" w:rsidR="00225739" w:rsidRPr="00225739" w:rsidRDefault="00225739" w:rsidP="00171417">
      <w:pPr>
        <w:pStyle w:val="Bibliography"/>
        <w:jc w:val="both"/>
      </w:pPr>
      <w:r w:rsidRPr="00225739">
        <w:t>[16]</w:t>
      </w:r>
      <w:r w:rsidRPr="00225739">
        <w:tab/>
        <w:t xml:space="preserve">Most. Z. </w:t>
      </w:r>
      <w:proofErr w:type="spellStart"/>
      <w:r w:rsidRPr="00225739">
        <w:t>Ferdous</w:t>
      </w:r>
      <w:proofErr w:type="spellEnd"/>
      <w:r w:rsidRPr="00225739">
        <w:t xml:space="preserve">, Md. S. Islam, Md. T. </w:t>
      </w:r>
      <w:proofErr w:type="spellStart"/>
      <w:r w:rsidRPr="00225739">
        <w:t>Sikder</w:t>
      </w:r>
      <w:proofErr w:type="spellEnd"/>
      <w:r w:rsidRPr="00225739">
        <w:t xml:space="preserve">, A. S. Md. </w:t>
      </w:r>
      <w:proofErr w:type="spellStart"/>
      <w:r w:rsidRPr="00225739">
        <w:t>Mosaddek</w:t>
      </w:r>
      <w:proofErr w:type="spellEnd"/>
      <w:r w:rsidRPr="00225739">
        <w:t xml:space="preserve">, J. A. </w:t>
      </w:r>
      <w:proofErr w:type="spellStart"/>
      <w:r w:rsidRPr="00225739">
        <w:t>Zegarra</w:t>
      </w:r>
      <w:proofErr w:type="spellEnd"/>
      <w:r w:rsidRPr="00225739">
        <w:t xml:space="preserve">-Valdivia, and D. </w:t>
      </w:r>
      <w:proofErr w:type="spellStart"/>
      <w:r w:rsidRPr="00225739">
        <w:t>Gozal</w:t>
      </w:r>
      <w:proofErr w:type="spellEnd"/>
      <w:r w:rsidRPr="00225739">
        <w:t xml:space="preserve">, “Knowledge, attitude, and practice regarding COVID-19 outbreak in Bangladesh: An online-based cross-sectional study,” </w:t>
      </w:r>
      <w:r w:rsidRPr="00225739">
        <w:rPr>
          <w:i/>
          <w:iCs/>
        </w:rPr>
        <w:t>PLOS ONE</w:t>
      </w:r>
      <w:r w:rsidRPr="00225739">
        <w:t xml:space="preserve">, vol. 15, no. 10, p. e0239254, Oct. 2020, </w:t>
      </w:r>
      <w:proofErr w:type="spellStart"/>
      <w:r w:rsidRPr="00225739">
        <w:t>doi</w:t>
      </w:r>
      <w:proofErr w:type="spellEnd"/>
      <w:r w:rsidRPr="00225739">
        <w:t>: 10.1371/journal.pone.0239254.</w:t>
      </w:r>
    </w:p>
    <w:p w14:paraId="35B58EBC" w14:textId="77777777" w:rsidR="00225739" w:rsidRPr="00225739" w:rsidRDefault="00225739" w:rsidP="00171417">
      <w:pPr>
        <w:pStyle w:val="Bibliography"/>
        <w:jc w:val="both"/>
      </w:pPr>
      <w:r w:rsidRPr="00225739">
        <w:t>[17]</w:t>
      </w:r>
      <w:r w:rsidRPr="00225739">
        <w:tab/>
        <w:t xml:space="preserve">R. T. H. </w:t>
      </w:r>
      <w:proofErr w:type="spellStart"/>
      <w:r w:rsidRPr="00225739">
        <w:t>Villarino</w:t>
      </w:r>
      <w:proofErr w:type="spellEnd"/>
      <w:r w:rsidRPr="00225739">
        <w:t xml:space="preserve">, </w:t>
      </w:r>
      <w:r w:rsidRPr="00225739">
        <w:rPr>
          <w:i/>
          <w:iCs/>
        </w:rPr>
        <w:t>FUNDAMENTALS OF ACADEMIC PUBLISHING: A Handbook in Writing a Scientific Paper for Publication</w:t>
      </w:r>
      <w:r w:rsidRPr="00225739">
        <w:t>. Independently published, 2021.</w:t>
      </w:r>
    </w:p>
    <w:p w14:paraId="1131A581" w14:textId="77777777" w:rsidR="00225739" w:rsidRPr="00225739" w:rsidRDefault="00225739" w:rsidP="00171417">
      <w:pPr>
        <w:pStyle w:val="Bibliography"/>
        <w:jc w:val="both"/>
      </w:pPr>
      <w:r w:rsidRPr="00225739">
        <w:t>[18]</w:t>
      </w:r>
      <w:r w:rsidRPr="00225739">
        <w:tab/>
        <w:t xml:space="preserve">C. Arora, “Development and Validation of Health Education Tools and Evaluation Questionnaires for Improving Patient Care in Lifestyle Related Diseases,” </w:t>
      </w:r>
      <w:r w:rsidRPr="00225739">
        <w:rPr>
          <w:i/>
          <w:iCs/>
        </w:rPr>
        <w:t xml:space="preserve">J. </w:t>
      </w:r>
      <w:proofErr w:type="spellStart"/>
      <w:r w:rsidRPr="00225739">
        <w:rPr>
          <w:i/>
          <w:iCs/>
        </w:rPr>
        <w:t>Clin</w:t>
      </w:r>
      <w:proofErr w:type="spellEnd"/>
      <w:r w:rsidRPr="00225739">
        <w:rPr>
          <w:i/>
          <w:iCs/>
        </w:rPr>
        <w:t xml:space="preserve">. </w:t>
      </w:r>
      <w:proofErr w:type="spellStart"/>
      <w:r w:rsidRPr="00225739">
        <w:rPr>
          <w:i/>
          <w:iCs/>
        </w:rPr>
        <w:t>Diagn</w:t>
      </w:r>
      <w:proofErr w:type="spellEnd"/>
      <w:r w:rsidRPr="00225739">
        <w:rPr>
          <w:i/>
          <w:iCs/>
        </w:rPr>
        <w:t>. Res.</w:t>
      </w:r>
      <w:r w:rsidRPr="00225739">
        <w:t xml:space="preserve">, 2017, </w:t>
      </w:r>
      <w:proofErr w:type="spellStart"/>
      <w:r w:rsidRPr="00225739">
        <w:t>doi</w:t>
      </w:r>
      <w:proofErr w:type="spellEnd"/>
      <w:r w:rsidRPr="00225739">
        <w:t>: 10.7860/JCDR/2017/28197.9946.</w:t>
      </w:r>
    </w:p>
    <w:p w14:paraId="38A70C39" w14:textId="77777777" w:rsidR="00225739" w:rsidRPr="00225739" w:rsidRDefault="00225739" w:rsidP="00171417">
      <w:pPr>
        <w:pStyle w:val="Bibliography"/>
        <w:jc w:val="both"/>
      </w:pPr>
      <w:r w:rsidRPr="00225739">
        <w:lastRenderedPageBreak/>
        <w:t>[19]</w:t>
      </w:r>
      <w:r w:rsidRPr="00225739">
        <w:tab/>
        <w:t xml:space="preserve">R. T. H. </w:t>
      </w:r>
      <w:proofErr w:type="spellStart"/>
      <w:r w:rsidRPr="00225739">
        <w:t>Villarino</w:t>
      </w:r>
      <w:proofErr w:type="spellEnd"/>
      <w:r w:rsidRPr="00225739">
        <w:t xml:space="preserve">, M. L. F. </w:t>
      </w:r>
      <w:proofErr w:type="spellStart"/>
      <w:r w:rsidRPr="00225739">
        <w:t>Villarino</w:t>
      </w:r>
      <w:proofErr w:type="spellEnd"/>
      <w:r w:rsidRPr="00225739">
        <w:t xml:space="preserve">, M. C. L. Temblor, P. Bernard, and M. </w:t>
      </w:r>
      <w:proofErr w:type="spellStart"/>
      <w:r w:rsidRPr="00225739">
        <w:t>Plaisent</w:t>
      </w:r>
      <w:proofErr w:type="spellEnd"/>
      <w:r w:rsidRPr="00225739">
        <w:t xml:space="preserve">, “Developing a health and well-being program for college students: An online intervention,” </w:t>
      </w:r>
      <w:r w:rsidRPr="00225739">
        <w:rPr>
          <w:i/>
          <w:iCs/>
        </w:rPr>
        <w:t xml:space="preserve">World J. Educ. Technol. </w:t>
      </w:r>
      <w:proofErr w:type="spellStart"/>
      <w:r w:rsidRPr="00225739">
        <w:rPr>
          <w:i/>
          <w:iCs/>
        </w:rPr>
        <w:t>Curr</w:t>
      </w:r>
      <w:proofErr w:type="spellEnd"/>
      <w:r w:rsidRPr="00225739">
        <w:rPr>
          <w:i/>
          <w:iCs/>
        </w:rPr>
        <w:t>. Issues</w:t>
      </w:r>
      <w:r w:rsidRPr="00225739">
        <w:t xml:space="preserve">, vol. 14, no. 1, pp. 64–78, Jan. 2022, </w:t>
      </w:r>
      <w:proofErr w:type="spellStart"/>
      <w:r w:rsidRPr="00225739">
        <w:t>doi</w:t>
      </w:r>
      <w:proofErr w:type="spellEnd"/>
      <w:r w:rsidRPr="00225739">
        <w:t>: 10.18844/wjet.v14i1.6638.</w:t>
      </w:r>
    </w:p>
    <w:p w14:paraId="7B8CAFAF" w14:textId="77777777" w:rsidR="00225739" w:rsidRPr="00225739" w:rsidRDefault="00225739" w:rsidP="00171417">
      <w:pPr>
        <w:pStyle w:val="Bibliography"/>
        <w:jc w:val="both"/>
      </w:pPr>
      <w:r w:rsidRPr="00225739">
        <w:t>[20]</w:t>
      </w:r>
      <w:r w:rsidRPr="00225739">
        <w:tab/>
        <w:t xml:space="preserve">R. T. </w:t>
      </w:r>
      <w:proofErr w:type="spellStart"/>
      <w:r w:rsidRPr="00225739">
        <w:t>Villarino</w:t>
      </w:r>
      <w:proofErr w:type="spellEnd"/>
      <w:r w:rsidRPr="00225739">
        <w:t xml:space="preserve"> </w:t>
      </w:r>
      <w:r w:rsidRPr="00225739">
        <w:rPr>
          <w:i/>
          <w:iCs/>
        </w:rPr>
        <w:t>et al.</w:t>
      </w:r>
      <w:r w:rsidRPr="00225739">
        <w:t xml:space="preserve">, “The Effects of Lifestyle Intervention Using the Modified Beliefs, Attitude, Subjective Norms, Enabling Factors Model in Hypertension Management: Quasi-Experimental Study,” </w:t>
      </w:r>
      <w:r w:rsidRPr="00225739">
        <w:rPr>
          <w:i/>
          <w:iCs/>
        </w:rPr>
        <w:t>JMIR Cardio</w:t>
      </w:r>
      <w:r w:rsidRPr="00225739">
        <w:t xml:space="preserve">, vol. 5, no. 2, p. e20297, Sep. 2021, </w:t>
      </w:r>
      <w:proofErr w:type="spellStart"/>
      <w:r w:rsidRPr="00225739">
        <w:t>doi</w:t>
      </w:r>
      <w:proofErr w:type="spellEnd"/>
      <w:r w:rsidRPr="00225739">
        <w:t>: 10.2196/20297.</w:t>
      </w:r>
    </w:p>
    <w:p w14:paraId="5F3CC9A1" w14:textId="77777777" w:rsidR="00225739" w:rsidRPr="00225739" w:rsidRDefault="00225739" w:rsidP="00171417">
      <w:pPr>
        <w:pStyle w:val="Bibliography"/>
        <w:jc w:val="both"/>
      </w:pPr>
      <w:r w:rsidRPr="00225739">
        <w:t>[21]</w:t>
      </w:r>
      <w:r w:rsidRPr="00225739">
        <w:tab/>
        <w:t>J. Albert and R. Gaspar, “Who are the middle class</w:t>
      </w:r>
      <w:proofErr w:type="gramStart"/>
      <w:r w:rsidRPr="00225739">
        <w:t>?,</w:t>
      </w:r>
      <w:proofErr w:type="gramEnd"/>
      <w:r w:rsidRPr="00225739">
        <w:t>” 2015. https://www.rappler.com/voices/thought-leaders/who-are-middle-class (accessed Oct. 31, 2021).</w:t>
      </w:r>
    </w:p>
    <w:p w14:paraId="3A100579" w14:textId="77777777" w:rsidR="00225739" w:rsidRPr="00225739" w:rsidRDefault="00225739" w:rsidP="00171417">
      <w:pPr>
        <w:pStyle w:val="Bibliography"/>
        <w:jc w:val="both"/>
      </w:pPr>
      <w:r w:rsidRPr="00225739">
        <w:t>[22]</w:t>
      </w:r>
      <w:r w:rsidRPr="00225739">
        <w:tab/>
        <w:t>Congressional Policy and Budget Research Department, “FF2022-09: Inflation of the Bottom 30% Income Households in January 2022,” 2022. https://cpbrd.congress.gov.ph/2012-06-30-13-06-51/2012-06-30-13-36-50/1442-ff2022-09-inflation-of-the-bottom-30-income-households-in-january-2022 (accessed Apr. 17, 2022).</w:t>
      </w:r>
    </w:p>
    <w:p w14:paraId="13AEC096" w14:textId="77777777" w:rsidR="00225739" w:rsidRPr="00225739" w:rsidRDefault="00225739" w:rsidP="00171417">
      <w:pPr>
        <w:pStyle w:val="Bibliography"/>
        <w:jc w:val="both"/>
      </w:pPr>
      <w:r w:rsidRPr="00225739">
        <w:t>[23]</w:t>
      </w:r>
      <w:r w:rsidRPr="00225739">
        <w:tab/>
        <w:t>CHED, “CHED, DBM Release Guidelines on Free Tuition in SUCs - CHED,” 2018. https://ched.gov.ph/ched-dbm-release-guidelines-free-tuition-sucs/ (accessed Apr. 17, 2022).</w:t>
      </w:r>
    </w:p>
    <w:p w14:paraId="321EF4DD" w14:textId="77777777" w:rsidR="00225739" w:rsidRPr="00225739" w:rsidRDefault="00225739" w:rsidP="00171417">
      <w:pPr>
        <w:pStyle w:val="Bibliography"/>
        <w:jc w:val="both"/>
      </w:pPr>
      <w:r w:rsidRPr="00225739">
        <w:t>[24]</w:t>
      </w:r>
      <w:r w:rsidRPr="00225739">
        <w:tab/>
        <w:t xml:space="preserve">K. B. </w:t>
      </w:r>
      <w:proofErr w:type="spellStart"/>
      <w:r w:rsidRPr="00225739">
        <w:t>Anand</w:t>
      </w:r>
      <w:proofErr w:type="spellEnd"/>
      <w:r w:rsidRPr="00225739">
        <w:t xml:space="preserve">, S. </w:t>
      </w:r>
      <w:proofErr w:type="spellStart"/>
      <w:r w:rsidRPr="00225739">
        <w:t>Karade</w:t>
      </w:r>
      <w:proofErr w:type="spellEnd"/>
      <w:r w:rsidRPr="00225739">
        <w:t xml:space="preserve">, S. Sen, and R. M. Gupta, “SARS-CoV-2: </w:t>
      </w:r>
      <w:proofErr w:type="spellStart"/>
      <w:r w:rsidRPr="00225739">
        <w:t>Camazotz’s</w:t>
      </w:r>
      <w:proofErr w:type="spellEnd"/>
      <w:r w:rsidRPr="00225739">
        <w:t xml:space="preserve"> Curse,” </w:t>
      </w:r>
      <w:r w:rsidRPr="00225739">
        <w:rPr>
          <w:i/>
          <w:iCs/>
        </w:rPr>
        <w:t>Med. J. Armed Forces India</w:t>
      </w:r>
      <w:r w:rsidRPr="00225739">
        <w:t xml:space="preserve">, vol. 76, no. 2, pp. 136–141, Apr. 2020, </w:t>
      </w:r>
      <w:proofErr w:type="spellStart"/>
      <w:r w:rsidRPr="00225739">
        <w:t>doi</w:t>
      </w:r>
      <w:proofErr w:type="spellEnd"/>
      <w:r w:rsidRPr="00225739">
        <w:t>: 10.1016/j.mjafi.2020.04.008.</w:t>
      </w:r>
    </w:p>
    <w:p w14:paraId="68A488DE" w14:textId="77777777" w:rsidR="00225739" w:rsidRPr="00225739" w:rsidRDefault="00225739" w:rsidP="00171417">
      <w:pPr>
        <w:pStyle w:val="Bibliography"/>
        <w:jc w:val="both"/>
      </w:pPr>
      <w:r w:rsidRPr="00225739">
        <w:t>[25]</w:t>
      </w:r>
      <w:r w:rsidRPr="00225739">
        <w:tab/>
        <w:t xml:space="preserve">N. </w:t>
      </w:r>
      <w:proofErr w:type="spellStart"/>
      <w:r w:rsidRPr="00225739">
        <w:t>Vindegaard</w:t>
      </w:r>
      <w:proofErr w:type="spellEnd"/>
      <w:r w:rsidRPr="00225739">
        <w:t xml:space="preserve"> and M. E. </w:t>
      </w:r>
      <w:proofErr w:type="spellStart"/>
      <w:r w:rsidRPr="00225739">
        <w:t>Benros</w:t>
      </w:r>
      <w:proofErr w:type="spellEnd"/>
      <w:r w:rsidRPr="00225739">
        <w:t xml:space="preserve">, “COVID-19 pandemic and mental health consequences: Systematic review of the current evidence,” </w:t>
      </w:r>
      <w:r w:rsidRPr="00225739">
        <w:rPr>
          <w:i/>
          <w:iCs/>
        </w:rPr>
        <w:t xml:space="preserve">Brain. </w:t>
      </w:r>
      <w:proofErr w:type="spellStart"/>
      <w:r w:rsidRPr="00225739">
        <w:rPr>
          <w:i/>
          <w:iCs/>
        </w:rPr>
        <w:t>Behav</w:t>
      </w:r>
      <w:proofErr w:type="spellEnd"/>
      <w:r w:rsidRPr="00225739">
        <w:rPr>
          <w:i/>
          <w:iCs/>
        </w:rPr>
        <w:t>. Immun.</w:t>
      </w:r>
      <w:r w:rsidRPr="00225739">
        <w:t xml:space="preserve">, vol. 89, pp. 531–542, Oct. 2020, </w:t>
      </w:r>
      <w:proofErr w:type="spellStart"/>
      <w:r w:rsidRPr="00225739">
        <w:t>doi</w:t>
      </w:r>
      <w:proofErr w:type="spellEnd"/>
      <w:r w:rsidRPr="00225739">
        <w:t>: 10.1016/j.bbi.2020.05.048.</w:t>
      </w:r>
    </w:p>
    <w:p w14:paraId="0B238A8A" w14:textId="77777777" w:rsidR="00225739" w:rsidRPr="00225739" w:rsidRDefault="00225739" w:rsidP="00171417">
      <w:pPr>
        <w:pStyle w:val="Bibliography"/>
        <w:jc w:val="both"/>
      </w:pPr>
      <w:r w:rsidRPr="00225739">
        <w:t>[26]</w:t>
      </w:r>
      <w:r w:rsidRPr="00225739">
        <w:tab/>
        <w:t xml:space="preserve">M. Zimmermann, C. Bledsoe, and A. Papa, “The Impact of the COVID-19 Pandemic on College Student Mental Health: A Longitudinal Examination of Risk and Protective Factors,” </w:t>
      </w:r>
      <w:proofErr w:type="spellStart"/>
      <w:r w:rsidRPr="00225739">
        <w:t>PsyArXiv</w:t>
      </w:r>
      <w:proofErr w:type="spellEnd"/>
      <w:r w:rsidRPr="00225739">
        <w:t xml:space="preserve">, preprint, Jun. 2020. </w:t>
      </w:r>
      <w:proofErr w:type="spellStart"/>
      <w:proofErr w:type="gramStart"/>
      <w:r w:rsidRPr="00225739">
        <w:t>doi</w:t>
      </w:r>
      <w:proofErr w:type="spellEnd"/>
      <w:proofErr w:type="gramEnd"/>
      <w:r w:rsidRPr="00225739">
        <w:t>: 10.31234/osf.io/2y7hu.</w:t>
      </w:r>
    </w:p>
    <w:p w14:paraId="6D867419" w14:textId="77777777" w:rsidR="00225739" w:rsidRPr="00225739" w:rsidRDefault="00225739" w:rsidP="00171417">
      <w:pPr>
        <w:pStyle w:val="Bibliography"/>
        <w:jc w:val="both"/>
      </w:pPr>
      <w:r w:rsidRPr="00225739">
        <w:t>[27]</w:t>
      </w:r>
      <w:r w:rsidRPr="00225739">
        <w:tab/>
        <w:t>WHO, “WHO/Europe | Coronavirus disease (COVID-19) outbreak - WHO announces COVID-19 outbreak a pandemic,” 2020. https://www.euro.who.int/en/health-topics/health-emergencies/coronavirus-covid-19/news/news/2020/3/who-announces-covid-19-outbreak-a-pandemic (accessed May 21, 2021).</w:t>
      </w:r>
    </w:p>
    <w:p w14:paraId="5A20C41D" w14:textId="77777777" w:rsidR="00225739" w:rsidRPr="00225739" w:rsidRDefault="00225739" w:rsidP="00171417">
      <w:pPr>
        <w:pStyle w:val="Bibliography"/>
        <w:jc w:val="both"/>
      </w:pPr>
      <w:r w:rsidRPr="00225739">
        <w:t>[28]</w:t>
      </w:r>
      <w:r w:rsidRPr="00225739">
        <w:tab/>
        <w:t>CDC, “What Works: Sexual Health Education | Adolescent and School Health | CDC,” 2020. https://www.cdc.gov/healthyyouth/whatworks/what-works-sexual-health-education.htm (accessed Jan. 05, 2022).</w:t>
      </w:r>
    </w:p>
    <w:p w14:paraId="36106F11" w14:textId="77777777" w:rsidR="00225739" w:rsidRPr="00225739" w:rsidRDefault="00225739" w:rsidP="00171417">
      <w:pPr>
        <w:pStyle w:val="Bibliography"/>
        <w:jc w:val="both"/>
      </w:pPr>
      <w:r w:rsidRPr="00225739">
        <w:t>[29]</w:t>
      </w:r>
      <w:r w:rsidRPr="00225739">
        <w:tab/>
        <w:t xml:space="preserve">K. R. </w:t>
      </w:r>
      <w:proofErr w:type="spellStart"/>
      <w:r w:rsidRPr="00225739">
        <w:t>Arlinghaus</w:t>
      </w:r>
      <w:proofErr w:type="spellEnd"/>
      <w:r w:rsidRPr="00225739">
        <w:t xml:space="preserve"> and C. A. Johnston, “Advocating for Behavior Change With Education,” </w:t>
      </w:r>
      <w:r w:rsidRPr="00225739">
        <w:rPr>
          <w:i/>
          <w:iCs/>
        </w:rPr>
        <w:t>Am. J. Lifestyle Med.</w:t>
      </w:r>
      <w:r w:rsidRPr="00225739">
        <w:t xml:space="preserve">, vol. 12, no. 2, pp. 113–116, Dec. 2017, </w:t>
      </w:r>
      <w:proofErr w:type="spellStart"/>
      <w:r w:rsidRPr="00225739">
        <w:t>doi</w:t>
      </w:r>
      <w:proofErr w:type="spellEnd"/>
      <w:r w:rsidRPr="00225739">
        <w:t>: 10.1177/1559827617745479.</w:t>
      </w:r>
    </w:p>
    <w:p w14:paraId="2F81B38C" w14:textId="77777777" w:rsidR="00225739" w:rsidRPr="00225739" w:rsidRDefault="00225739" w:rsidP="00171417">
      <w:pPr>
        <w:pStyle w:val="Bibliography"/>
        <w:jc w:val="both"/>
      </w:pPr>
      <w:r w:rsidRPr="00225739">
        <w:t>[30]</w:t>
      </w:r>
      <w:r w:rsidRPr="00225739">
        <w:tab/>
        <w:t xml:space="preserve">S. M. </w:t>
      </w:r>
      <w:proofErr w:type="spellStart"/>
      <w:r w:rsidRPr="00225739">
        <w:t>Ayu</w:t>
      </w:r>
      <w:proofErr w:type="spellEnd"/>
      <w:r w:rsidRPr="00225739">
        <w:t xml:space="preserve">, S. </w:t>
      </w:r>
      <w:proofErr w:type="spellStart"/>
      <w:r w:rsidRPr="00225739">
        <w:t>Lindawati</w:t>
      </w:r>
      <w:proofErr w:type="spellEnd"/>
      <w:r w:rsidRPr="00225739">
        <w:t xml:space="preserve">, and T. </w:t>
      </w:r>
      <w:proofErr w:type="spellStart"/>
      <w:r w:rsidRPr="00225739">
        <w:t>Halimatusa’diyah</w:t>
      </w:r>
      <w:proofErr w:type="spellEnd"/>
      <w:r w:rsidRPr="00225739">
        <w:t xml:space="preserve">, “Knowledge and attitude about risky pregnancy among student,” </w:t>
      </w:r>
      <w:r w:rsidRPr="00225739">
        <w:rPr>
          <w:i/>
          <w:iCs/>
        </w:rPr>
        <w:t xml:space="preserve">Int. J. </w:t>
      </w:r>
      <w:proofErr w:type="spellStart"/>
      <w:r w:rsidRPr="00225739">
        <w:rPr>
          <w:i/>
          <w:iCs/>
        </w:rPr>
        <w:t>Eval</w:t>
      </w:r>
      <w:proofErr w:type="spellEnd"/>
      <w:r w:rsidRPr="00225739">
        <w:rPr>
          <w:i/>
          <w:iCs/>
        </w:rPr>
        <w:t>. Res. Educ. IJERE</w:t>
      </w:r>
      <w:r w:rsidRPr="00225739">
        <w:t xml:space="preserve">, vol. 9, no. 2, p. 326, Jun. 2020, </w:t>
      </w:r>
      <w:proofErr w:type="spellStart"/>
      <w:r w:rsidRPr="00225739">
        <w:t>doi</w:t>
      </w:r>
      <w:proofErr w:type="spellEnd"/>
      <w:r w:rsidRPr="00225739">
        <w:t>: 10.11591/ijere.v9i2.20413.</w:t>
      </w:r>
    </w:p>
    <w:p w14:paraId="1DD1C991" w14:textId="77777777" w:rsidR="00225739" w:rsidRPr="00225739" w:rsidRDefault="00225739" w:rsidP="00171417">
      <w:pPr>
        <w:pStyle w:val="Bibliography"/>
        <w:jc w:val="both"/>
      </w:pPr>
      <w:r w:rsidRPr="00225739">
        <w:t>[31]</w:t>
      </w:r>
      <w:r w:rsidRPr="00225739">
        <w:tab/>
        <w:t xml:space="preserve">P. Davis, M. </w:t>
      </w:r>
      <w:proofErr w:type="spellStart"/>
      <w:r w:rsidRPr="00225739">
        <w:t>Sarasveni</w:t>
      </w:r>
      <w:proofErr w:type="spellEnd"/>
      <w:r w:rsidRPr="00225739">
        <w:t xml:space="preserve">, J. Krishnan, L. D. Bhat, and N. K. </w:t>
      </w:r>
      <w:proofErr w:type="spellStart"/>
      <w:r w:rsidRPr="00225739">
        <w:t>Kodali</w:t>
      </w:r>
      <w:proofErr w:type="spellEnd"/>
      <w:r w:rsidRPr="00225739">
        <w:t xml:space="preserve">, “Knowledge and attitudes about the use of emergency contraception among college students in Tamil Nadu, India,” </w:t>
      </w:r>
      <w:r w:rsidRPr="00225739">
        <w:rPr>
          <w:i/>
          <w:iCs/>
        </w:rPr>
        <w:t>J. Egypt. Public Health Assoc.</w:t>
      </w:r>
      <w:r w:rsidRPr="00225739">
        <w:t xml:space="preserve">, vol. 95, no. 1, p. 1, Dec. 2020, </w:t>
      </w:r>
      <w:proofErr w:type="spellStart"/>
      <w:r w:rsidRPr="00225739">
        <w:t>doi</w:t>
      </w:r>
      <w:proofErr w:type="spellEnd"/>
      <w:r w:rsidRPr="00225739">
        <w:t>: 10.1186/s42506-019-0030-9.</w:t>
      </w:r>
    </w:p>
    <w:p w14:paraId="142E9300" w14:textId="77777777" w:rsidR="00225739" w:rsidRPr="00225739" w:rsidRDefault="00225739" w:rsidP="00171417">
      <w:pPr>
        <w:pStyle w:val="Bibliography"/>
        <w:jc w:val="both"/>
      </w:pPr>
      <w:r w:rsidRPr="00225739">
        <w:t>[32]</w:t>
      </w:r>
      <w:r w:rsidRPr="00225739">
        <w:tab/>
        <w:t xml:space="preserve">Md. D. </w:t>
      </w:r>
      <w:proofErr w:type="spellStart"/>
      <w:r w:rsidRPr="00225739">
        <w:t>Alam</w:t>
      </w:r>
      <w:proofErr w:type="spellEnd"/>
      <w:r w:rsidRPr="00225739">
        <w:t xml:space="preserve">, J. Lu, L. Ni, S. Hu, and Y. Xu, “Psychological Outcomes and Associated Factors Among the International Students Living in China During the COVID-19 Pandemic,” </w:t>
      </w:r>
      <w:r w:rsidRPr="00225739">
        <w:rPr>
          <w:i/>
          <w:iCs/>
        </w:rPr>
        <w:t>Front. Psychiatry</w:t>
      </w:r>
      <w:r w:rsidRPr="00225739">
        <w:t xml:space="preserve">, vol. 12, p. 707342, Aug. 2021, </w:t>
      </w:r>
      <w:proofErr w:type="spellStart"/>
      <w:r w:rsidRPr="00225739">
        <w:t>doi</w:t>
      </w:r>
      <w:proofErr w:type="spellEnd"/>
      <w:r w:rsidRPr="00225739">
        <w:t>: 10.3389/fpsyt.2021.707342.</w:t>
      </w:r>
    </w:p>
    <w:p w14:paraId="59CA19E0" w14:textId="77777777" w:rsidR="00225739" w:rsidRPr="00225739" w:rsidRDefault="00225739" w:rsidP="00171417">
      <w:pPr>
        <w:pStyle w:val="Bibliography"/>
        <w:jc w:val="both"/>
      </w:pPr>
      <w:r w:rsidRPr="00225739">
        <w:t>[33]</w:t>
      </w:r>
      <w:r w:rsidRPr="00225739">
        <w:tab/>
        <w:t xml:space="preserve">B. Morgan and L. Simmons, “A ‘PERMA’ Response to the Pandemic: An Online Positive Education </w:t>
      </w:r>
      <w:proofErr w:type="spellStart"/>
      <w:r w:rsidRPr="00225739">
        <w:t>Programme</w:t>
      </w:r>
      <w:proofErr w:type="spellEnd"/>
      <w:r w:rsidRPr="00225739">
        <w:t xml:space="preserve"> to Promote Wellbeing in University Students,” </w:t>
      </w:r>
      <w:r w:rsidRPr="00225739">
        <w:rPr>
          <w:i/>
          <w:iCs/>
        </w:rPr>
        <w:t>Front. Educ.</w:t>
      </w:r>
      <w:r w:rsidRPr="00225739">
        <w:t xml:space="preserve">, vol. 6, p. 642632, May 2021, </w:t>
      </w:r>
      <w:proofErr w:type="spellStart"/>
      <w:r w:rsidRPr="00225739">
        <w:t>doi</w:t>
      </w:r>
      <w:proofErr w:type="spellEnd"/>
      <w:r w:rsidRPr="00225739">
        <w:t>: 10.3389/feduc.2021.642632.</w:t>
      </w:r>
    </w:p>
    <w:p w14:paraId="394F8D07" w14:textId="77777777" w:rsidR="00225739" w:rsidRPr="00225739" w:rsidRDefault="00225739" w:rsidP="00171417">
      <w:pPr>
        <w:pStyle w:val="Bibliography"/>
        <w:jc w:val="both"/>
      </w:pPr>
      <w:r w:rsidRPr="00225739">
        <w:t>[34]</w:t>
      </w:r>
      <w:r w:rsidRPr="00225739">
        <w:tab/>
        <w:t xml:space="preserve">M. </w:t>
      </w:r>
      <w:proofErr w:type="spellStart"/>
      <w:r w:rsidRPr="00225739">
        <w:t>Harrer</w:t>
      </w:r>
      <w:proofErr w:type="spellEnd"/>
      <w:r w:rsidRPr="00225739">
        <w:t xml:space="preserve"> </w:t>
      </w:r>
      <w:r w:rsidRPr="00225739">
        <w:rPr>
          <w:i/>
          <w:iCs/>
        </w:rPr>
        <w:t>et al.</w:t>
      </w:r>
      <w:r w:rsidRPr="00225739">
        <w:t xml:space="preserve">, “Internet interventions for mental health in university students: A systematic review and meta‐analysis,” </w:t>
      </w:r>
      <w:r w:rsidRPr="00225739">
        <w:rPr>
          <w:i/>
          <w:iCs/>
        </w:rPr>
        <w:t xml:space="preserve">Int. J. Methods </w:t>
      </w:r>
      <w:proofErr w:type="spellStart"/>
      <w:r w:rsidRPr="00225739">
        <w:rPr>
          <w:i/>
          <w:iCs/>
        </w:rPr>
        <w:t>Psychiatr</w:t>
      </w:r>
      <w:proofErr w:type="spellEnd"/>
      <w:r w:rsidRPr="00225739">
        <w:rPr>
          <w:i/>
          <w:iCs/>
        </w:rPr>
        <w:t>. Res.</w:t>
      </w:r>
      <w:r w:rsidRPr="00225739">
        <w:t xml:space="preserve">, vol. 28, no. 2, p. e1759, Jun. 2019, </w:t>
      </w:r>
      <w:proofErr w:type="spellStart"/>
      <w:r w:rsidRPr="00225739">
        <w:t>doi</w:t>
      </w:r>
      <w:proofErr w:type="spellEnd"/>
      <w:r w:rsidRPr="00225739">
        <w:t>: 10.1002/mpr.1759.</w:t>
      </w:r>
    </w:p>
    <w:p w14:paraId="7D0EF40C" w14:textId="6B8C58B4" w:rsidR="00E619D6" w:rsidRPr="003847DA" w:rsidRDefault="0040458E" w:rsidP="00171417">
      <w:pPr>
        <w:ind w:left="426" w:hanging="426"/>
        <w:jc w:val="both"/>
        <w:rPr>
          <w:noProof/>
        </w:rPr>
      </w:pPr>
      <w:r w:rsidRPr="0040458E">
        <w:rPr>
          <w:noProof/>
        </w:rPr>
        <w:fldChar w:fldCharType="end"/>
      </w:r>
    </w:p>
    <w:p w14:paraId="3A8D4720" w14:textId="716268C5" w:rsidR="00942626" w:rsidRDefault="00942626" w:rsidP="00942626">
      <w:pPr>
        <w:rPr>
          <w:b/>
          <w:bCs/>
        </w:rPr>
      </w:pPr>
      <w:bookmarkStart w:id="1" w:name="_GoBack"/>
      <w:bookmarkEnd w:id="1"/>
      <w:r w:rsidRPr="003847DA">
        <w:rPr>
          <w:rStyle w:val="apple-style-span"/>
          <w:b/>
          <w:lang w:val="pt-BR"/>
        </w:rPr>
        <w:t xml:space="preserve">BIOGRAPHIES OF AUTHORS </w:t>
      </w:r>
    </w:p>
    <w:p w14:paraId="3F213E0C" w14:textId="77777777" w:rsidR="00561BCA" w:rsidRPr="003847DA" w:rsidRDefault="00561BCA" w:rsidP="00942626">
      <w:pPr>
        <w:rPr>
          <w:b/>
          <w:bCs/>
        </w:rPr>
      </w:pPr>
    </w:p>
    <w:tbl>
      <w:tblPr>
        <w:tblW w:w="9073" w:type="dxa"/>
        <w:tblInd w:w="24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813"/>
        <w:gridCol w:w="7260"/>
      </w:tblGrid>
      <w:tr w:rsidR="00AC6510" w:rsidRPr="00592CC2" w14:paraId="393D9C9E" w14:textId="77777777" w:rsidTr="00BE0361">
        <w:trPr>
          <w:trHeight w:val="2227"/>
        </w:trPr>
        <w:tc>
          <w:tcPr>
            <w:tcW w:w="1813" w:type="dxa"/>
          </w:tcPr>
          <w:p w14:paraId="11AAD667" w14:textId="0EEAB834" w:rsidR="00AC6510" w:rsidRPr="00AC6510" w:rsidRDefault="00A46B8E" w:rsidP="00CF52FB">
            <w:pPr>
              <w:rPr>
                <w:color w:val="000000"/>
                <w:lang w:val="pt-BR"/>
              </w:rPr>
            </w:pPr>
            <w:r>
              <w:rPr>
                <w:noProof/>
                <w:lang w:val="en-PH" w:eastAsia="en-PH"/>
              </w:rPr>
              <w:drawing>
                <wp:anchor distT="0" distB="0" distL="114300" distR="114300" simplePos="0" relativeHeight="251665408" behindDoc="0" locked="0" layoutInCell="1" allowOverlap="1" wp14:anchorId="390F2298" wp14:editId="311D6251">
                  <wp:simplePos x="0" y="0"/>
                  <wp:positionH relativeFrom="column">
                    <wp:posOffset>-40005</wp:posOffset>
                  </wp:positionH>
                  <wp:positionV relativeFrom="paragraph">
                    <wp:posOffset>3810</wp:posOffset>
                  </wp:positionV>
                  <wp:extent cx="1123950" cy="1238250"/>
                  <wp:effectExtent l="0" t="0" r="0" b="0"/>
                  <wp:wrapThrough wrapText="bothSides">
                    <wp:wrapPolygon edited="0">
                      <wp:start x="0" y="0"/>
                      <wp:lineTo x="0" y="21268"/>
                      <wp:lineTo x="21234" y="21268"/>
                      <wp:lineTo x="212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FDAE6" w14:textId="59182906" w:rsidR="00AC6510" w:rsidRPr="00AC6510" w:rsidRDefault="00AC6510" w:rsidP="00CF52FB">
            <w:pPr>
              <w:jc w:val="center"/>
              <w:rPr>
                <w:noProof/>
                <w:color w:val="000000"/>
                <w:lang w:val="pt-BR"/>
              </w:rPr>
            </w:pPr>
          </w:p>
          <w:p w14:paraId="49AD8D36" w14:textId="2A205B17" w:rsidR="00AC6510" w:rsidRPr="00AC6510" w:rsidRDefault="00AC6510" w:rsidP="00CF52FB">
            <w:pPr>
              <w:jc w:val="center"/>
              <w:rPr>
                <w:color w:val="000000"/>
                <w:lang w:val="pt-BR"/>
              </w:rPr>
            </w:pPr>
          </w:p>
        </w:tc>
        <w:tc>
          <w:tcPr>
            <w:tcW w:w="7260" w:type="dxa"/>
          </w:tcPr>
          <w:p w14:paraId="220F1A6C" w14:textId="23590694" w:rsidR="00AC6510" w:rsidRPr="00AC6510" w:rsidRDefault="00AC6510" w:rsidP="00CF52FB">
            <w:pPr>
              <w:jc w:val="both"/>
              <w:rPr>
                <w:color w:val="0F1111"/>
                <w:shd w:val="clear" w:color="auto" w:fill="FFFFFF"/>
              </w:rPr>
            </w:pPr>
            <w:r w:rsidRPr="00AC6510">
              <w:rPr>
                <w:b/>
                <w:color w:val="0F1111"/>
                <w:shd w:val="clear" w:color="auto" w:fill="FFFFFF"/>
              </w:rPr>
              <w:lastRenderedPageBreak/>
              <w:t xml:space="preserve">Dr. </w:t>
            </w:r>
            <w:proofErr w:type="spellStart"/>
            <w:r w:rsidRPr="00AC6510">
              <w:rPr>
                <w:b/>
                <w:color w:val="0F1111"/>
                <w:shd w:val="clear" w:color="auto" w:fill="FFFFFF"/>
              </w:rPr>
              <w:t>Resti</w:t>
            </w:r>
            <w:proofErr w:type="spellEnd"/>
            <w:r w:rsidRPr="00AC6510">
              <w:rPr>
                <w:b/>
                <w:color w:val="0F1111"/>
                <w:shd w:val="clear" w:color="auto" w:fill="FFFFFF"/>
              </w:rPr>
              <w:t xml:space="preserve"> Tito H. </w:t>
            </w:r>
            <w:proofErr w:type="spellStart"/>
            <w:r w:rsidRPr="00AC6510">
              <w:rPr>
                <w:b/>
                <w:color w:val="0F1111"/>
                <w:shd w:val="clear" w:color="auto" w:fill="FFFFFF"/>
              </w:rPr>
              <w:t>Villarino</w:t>
            </w:r>
            <w:proofErr w:type="spellEnd"/>
            <w:r w:rsidRPr="00AC6510">
              <w:rPr>
                <w:color w:val="0F1111"/>
                <w:shd w:val="clear" w:color="auto" w:fill="FFFFFF"/>
              </w:rPr>
              <w:t xml:space="preserve"> </w:t>
            </w:r>
            <w:r w:rsidRPr="003847DA">
              <w:rPr>
                <w:noProof/>
                <w:sz w:val="18"/>
                <w:szCs w:val="18"/>
                <w:lang w:val="en-PH" w:eastAsia="en-PH"/>
              </w:rPr>
              <w:drawing>
                <wp:inline distT="0" distB="0" distL="0" distR="0" wp14:anchorId="636F9AD8" wp14:editId="4B944907">
                  <wp:extent cx="114935" cy="114935"/>
                  <wp:effectExtent l="0" t="0" r="0" b="0"/>
                  <wp:docPr id="48" name="Picture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12C2755A" wp14:editId="491CAF13">
                  <wp:extent cx="114935" cy="114935"/>
                  <wp:effectExtent l="0" t="0" r="0" b="0"/>
                  <wp:docPr id="49" name="Picture 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6C753A46" wp14:editId="68498F7B">
                  <wp:extent cx="114935" cy="114935"/>
                  <wp:effectExtent l="0" t="0" r="0" b="0"/>
                  <wp:docPr id="50" name="Graphic 1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7" name="Graphic 1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69124BDB" wp14:editId="7DF4F928">
                  <wp:extent cx="114935" cy="114935"/>
                  <wp:effectExtent l="0" t="0" r="0" b="0"/>
                  <wp:docPr id="51" name="Picture 5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AC6510">
              <w:rPr>
                <w:color w:val="0F1111"/>
                <w:shd w:val="clear" w:color="auto" w:fill="FFFFFF"/>
              </w:rPr>
              <w:t>is a Registered Nurse</w:t>
            </w:r>
            <w:r w:rsidR="00E14FF6">
              <w:rPr>
                <w:color w:val="0F1111"/>
                <w:shd w:val="clear" w:color="auto" w:fill="FFFFFF"/>
              </w:rPr>
              <w:t xml:space="preserve"> and</w:t>
            </w:r>
            <w:r w:rsidRPr="00AC6510">
              <w:rPr>
                <w:color w:val="0F1111"/>
                <w:shd w:val="clear" w:color="auto" w:fill="FFFFFF"/>
              </w:rPr>
              <w:t xml:space="preserve"> Licensed Professional Teacher</w:t>
            </w:r>
            <w:r w:rsidR="00E14FF6">
              <w:rPr>
                <w:color w:val="0F1111"/>
                <w:shd w:val="clear" w:color="auto" w:fill="FFFFFF"/>
              </w:rPr>
              <w:t xml:space="preserve"> </w:t>
            </w:r>
            <w:r w:rsidRPr="00AC6510">
              <w:rPr>
                <w:color w:val="0F1111"/>
                <w:shd w:val="clear" w:color="auto" w:fill="FFFFFF"/>
              </w:rPr>
              <w:t xml:space="preserve">from the Philippines. He is a Canada ASEAN - SEED (Scholarships and Educational Exchanges for Development) research scholar at the </w:t>
            </w:r>
            <w:proofErr w:type="spellStart"/>
            <w:r w:rsidRPr="00AC6510">
              <w:rPr>
                <w:color w:val="0F1111"/>
                <w:shd w:val="clear" w:color="auto" w:fill="FFFFFF"/>
              </w:rPr>
              <w:t>Université</w:t>
            </w:r>
            <w:proofErr w:type="spellEnd"/>
            <w:r w:rsidRPr="00AC6510">
              <w:rPr>
                <w:color w:val="0F1111"/>
                <w:shd w:val="clear" w:color="auto" w:fill="FFFFFF"/>
              </w:rPr>
              <w:t xml:space="preserve"> du Québec à Montréal. He is a member of Sigma Theta Tau International Honor Society of Nursing (Psi Beta Chapter), an AACCUP Accreditor (Accrediting Agency of Chartered Colleges and Universities in the Philippines, Inc.), and an Associate Member of the National Research Council of the Philippines (NRCP</w:t>
            </w:r>
            <w:proofErr w:type="gramStart"/>
            <w:r w:rsidRPr="00AC6510">
              <w:rPr>
                <w:color w:val="0F1111"/>
                <w:shd w:val="clear" w:color="auto" w:fill="FFFFFF"/>
              </w:rPr>
              <w:t>)</w:t>
            </w:r>
            <w:r w:rsidR="00E01825">
              <w:rPr>
                <w:color w:val="0F1111"/>
                <w:shd w:val="clear" w:color="auto" w:fill="FFFFFF"/>
              </w:rPr>
              <w:t>-</w:t>
            </w:r>
            <w:proofErr w:type="gramEnd"/>
            <w:r w:rsidR="00E01825">
              <w:rPr>
                <w:color w:val="0F1111"/>
                <w:shd w:val="clear" w:color="auto" w:fill="FFFFFF"/>
              </w:rPr>
              <w:t xml:space="preserve"> Medical Sciences Division</w:t>
            </w:r>
            <w:r w:rsidRPr="00AC6510">
              <w:rPr>
                <w:color w:val="0F1111"/>
                <w:shd w:val="clear" w:color="auto" w:fill="FFFFFF"/>
              </w:rPr>
              <w:t>.</w:t>
            </w:r>
          </w:p>
          <w:p w14:paraId="139E4159" w14:textId="6D86CAC0" w:rsidR="00AC6510" w:rsidRPr="00E14FF6" w:rsidRDefault="00AC6510" w:rsidP="00CF52FB">
            <w:pPr>
              <w:rPr>
                <w:i/>
                <w:color w:val="000000"/>
                <w:lang w:val="pt-BR"/>
              </w:rPr>
            </w:pPr>
            <w:r w:rsidRPr="00AC6510">
              <w:rPr>
                <w:i/>
                <w:color w:val="000000"/>
                <w:lang w:val="pt-BR"/>
              </w:rPr>
              <w:t xml:space="preserve">Email: </w:t>
            </w:r>
            <w:r w:rsidR="00C0439B">
              <w:fldChar w:fldCharType="begin"/>
            </w:r>
            <w:r w:rsidR="00C0439B">
              <w:instrText xml:space="preserve"> HYPERLINK "mailto:restitito.villarino@ctu.edu.ph" </w:instrText>
            </w:r>
            <w:r w:rsidR="00C0439B">
              <w:fldChar w:fldCharType="separate"/>
            </w:r>
            <w:r w:rsidRPr="00AC6510">
              <w:rPr>
                <w:rStyle w:val="Hyperlink"/>
                <w:i/>
                <w:lang w:val="pt-BR"/>
              </w:rPr>
              <w:t>restitito.villarino@ctu.edu.ph</w:t>
            </w:r>
            <w:r w:rsidR="00C0439B">
              <w:rPr>
                <w:rStyle w:val="Hyperlink"/>
                <w:i/>
                <w:lang w:val="pt-BR"/>
              </w:rPr>
              <w:fldChar w:fldCharType="end"/>
            </w:r>
            <w:r w:rsidRPr="00AC6510">
              <w:rPr>
                <w:i/>
                <w:color w:val="000000"/>
                <w:lang w:val="pt-BR"/>
              </w:rPr>
              <w:t xml:space="preserve"> </w:t>
            </w:r>
            <w:hyperlink r:id="rId21" w:history="1"/>
            <w:r w:rsidRPr="00AC6510">
              <w:rPr>
                <w:i/>
                <w:color w:val="000000"/>
                <w:lang w:val="pt-BR"/>
              </w:rPr>
              <w:t xml:space="preserve"> </w:t>
            </w:r>
          </w:p>
        </w:tc>
      </w:tr>
      <w:tr w:rsidR="00AC6510" w:rsidRPr="00592CC2" w14:paraId="0EC59A12" w14:textId="77777777" w:rsidTr="00CF52FB">
        <w:tc>
          <w:tcPr>
            <w:tcW w:w="1813" w:type="dxa"/>
          </w:tcPr>
          <w:p w14:paraId="0BAE3677" w14:textId="4A54F73D" w:rsidR="00AC6510" w:rsidRPr="00AC6510" w:rsidRDefault="00AC6510" w:rsidP="00CF52FB">
            <w:pPr>
              <w:rPr>
                <w:color w:val="000000"/>
                <w:lang w:val="pt-BR"/>
              </w:rPr>
            </w:pPr>
          </w:p>
        </w:tc>
        <w:tc>
          <w:tcPr>
            <w:tcW w:w="7260" w:type="dxa"/>
          </w:tcPr>
          <w:p w14:paraId="356C1746" w14:textId="77777777" w:rsidR="00AC6510" w:rsidRPr="00AC6510" w:rsidRDefault="00AC6510" w:rsidP="00CF52FB">
            <w:pPr>
              <w:jc w:val="both"/>
              <w:rPr>
                <w:color w:val="000000"/>
              </w:rPr>
            </w:pPr>
          </w:p>
        </w:tc>
      </w:tr>
      <w:tr w:rsidR="00AC6510" w:rsidRPr="00592CC2" w14:paraId="39900CD9" w14:textId="77777777" w:rsidTr="00E14FF6">
        <w:trPr>
          <w:trHeight w:val="20"/>
        </w:trPr>
        <w:tc>
          <w:tcPr>
            <w:tcW w:w="1813" w:type="dxa"/>
          </w:tcPr>
          <w:p w14:paraId="4DB45C83" w14:textId="77777777" w:rsidR="00AC6510" w:rsidRPr="00AC6510" w:rsidRDefault="00AC6510" w:rsidP="00CF52FB">
            <w:pPr>
              <w:rPr>
                <w:color w:val="000000"/>
                <w:lang w:val="pt-BR"/>
              </w:rPr>
            </w:pPr>
            <w:r w:rsidRPr="00AC6510">
              <w:rPr>
                <w:noProof/>
                <w:lang w:val="en-PH" w:eastAsia="en-PH"/>
              </w:rPr>
              <w:drawing>
                <wp:anchor distT="0" distB="0" distL="114300" distR="114300" simplePos="0" relativeHeight="251661312" behindDoc="0" locked="0" layoutInCell="1" allowOverlap="1" wp14:anchorId="12D05211" wp14:editId="5CE91B2F">
                  <wp:simplePos x="0" y="0"/>
                  <wp:positionH relativeFrom="margin">
                    <wp:posOffset>-38100</wp:posOffset>
                  </wp:positionH>
                  <wp:positionV relativeFrom="paragraph">
                    <wp:posOffset>2540</wp:posOffset>
                  </wp:positionV>
                  <wp:extent cx="1079500" cy="1193800"/>
                  <wp:effectExtent l="0" t="0" r="6350" b="6350"/>
                  <wp:wrapThrough wrapText="bothSides">
                    <wp:wrapPolygon edited="0">
                      <wp:start x="0" y="0"/>
                      <wp:lineTo x="0" y="21370"/>
                      <wp:lineTo x="21346" y="21370"/>
                      <wp:lineTo x="21346" y="0"/>
                      <wp:lineTo x="0" y="0"/>
                    </wp:wrapPolygon>
                  </wp:wrapThrough>
                  <wp:docPr id="21" name="Picture 21" descr="C:\Users\User\AppData\Local\Microsoft\Windows\Temporary Internet Files\Content.Word\CCI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CCI_00000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4000"/>
                          <a:stretch/>
                        </pic:blipFill>
                        <pic:spPr bwMode="auto">
                          <a:xfrm>
                            <a:off x="0" y="0"/>
                            <a:ext cx="1079500" cy="119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6510">
              <w:rPr>
                <w:noProof/>
                <w:lang w:val="en-PH" w:eastAsia="en-PH"/>
              </w:rPr>
              <w:drawing>
                <wp:anchor distT="0" distB="0" distL="114300" distR="114300" simplePos="0" relativeHeight="251659264" behindDoc="0" locked="0" layoutInCell="1" allowOverlap="1" wp14:anchorId="75C4BF13" wp14:editId="17E3366A">
                  <wp:simplePos x="0" y="0"/>
                  <wp:positionH relativeFrom="column">
                    <wp:posOffset>-34820</wp:posOffset>
                  </wp:positionH>
                  <wp:positionV relativeFrom="paragraph">
                    <wp:posOffset>7620</wp:posOffset>
                  </wp:positionV>
                  <wp:extent cx="1082675" cy="11779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14:paraId="1B4DDB5E" w14:textId="77777777" w:rsidR="00AC6510" w:rsidRPr="00AC6510" w:rsidRDefault="00AC6510" w:rsidP="00CF52FB">
            <w:pPr>
              <w:jc w:val="center"/>
              <w:rPr>
                <w:color w:val="000000"/>
                <w:lang w:val="pt-BR"/>
              </w:rPr>
            </w:pPr>
          </w:p>
          <w:p w14:paraId="14E56D75" w14:textId="77777777" w:rsidR="00AC6510" w:rsidRPr="00AC6510" w:rsidRDefault="00AC6510" w:rsidP="00CF52FB">
            <w:pPr>
              <w:jc w:val="center"/>
              <w:rPr>
                <w:color w:val="000000"/>
                <w:lang w:val="pt-BR"/>
              </w:rPr>
            </w:pPr>
          </w:p>
          <w:p w14:paraId="40A4DFD8" w14:textId="77777777" w:rsidR="00AC6510" w:rsidRPr="00AC6510" w:rsidRDefault="00AC6510" w:rsidP="00CF52FB">
            <w:pPr>
              <w:jc w:val="center"/>
              <w:rPr>
                <w:color w:val="000000"/>
                <w:lang w:val="pt-BR"/>
              </w:rPr>
            </w:pPr>
          </w:p>
        </w:tc>
        <w:tc>
          <w:tcPr>
            <w:tcW w:w="7260" w:type="dxa"/>
          </w:tcPr>
          <w:p w14:paraId="102C401B" w14:textId="7187B392" w:rsidR="00AC6510" w:rsidRPr="00AC6510" w:rsidRDefault="00AC6510" w:rsidP="00CF52FB">
            <w:pPr>
              <w:jc w:val="both"/>
              <w:rPr>
                <w:color w:val="000000"/>
                <w:lang w:val="pt-BR"/>
              </w:rPr>
            </w:pPr>
            <w:r w:rsidRPr="00AC6510">
              <w:rPr>
                <w:b/>
                <w:color w:val="000000"/>
                <w:lang w:val="pt-BR"/>
              </w:rPr>
              <w:t>Maureen Lorence Villarino</w:t>
            </w:r>
            <w:r w:rsidRPr="00AC6510">
              <w:rPr>
                <w:color w:val="000000"/>
                <w:lang w:val="pt-BR"/>
              </w:rPr>
              <w:t xml:space="preserve"> </w:t>
            </w:r>
            <w:r w:rsidRPr="003847DA">
              <w:rPr>
                <w:noProof/>
                <w:sz w:val="18"/>
                <w:szCs w:val="18"/>
                <w:lang w:val="en-PH" w:eastAsia="en-PH"/>
              </w:rPr>
              <w:drawing>
                <wp:inline distT="0" distB="0" distL="0" distR="0" wp14:anchorId="7E00D4FB" wp14:editId="00F7A596">
                  <wp:extent cx="114935" cy="114935"/>
                  <wp:effectExtent l="0" t="0" r="0" b="0"/>
                  <wp:docPr id="44" name="Picture 4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37981D78" wp14:editId="61AF645A">
                  <wp:extent cx="114935" cy="114935"/>
                  <wp:effectExtent l="0" t="0" r="0" b="0"/>
                  <wp:docPr id="45" name="Picture 4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20A9BB3F" wp14:editId="2A811E9A">
                  <wp:extent cx="114935" cy="114935"/>
                  <wp:effectExtent l="0" t="0" r="0" b="0"/>
                  <wp:docPr id="46" name="Graphic 1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7" name="Graphic 1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367FD50F" wp14:editId="611D757E">
                  <wp:extent cx="114935" cy="114935"/>
                  <wp:effectExtent l="0" t="0" r="0" b="0"/>
                  <wp:docPr id="47" name="Picture 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AC6510">
              <w:rPr>
                <w:color w:val="000000"/>
                <w:lang w:val="pt-BR"/>
              </w:rPr>
              <w:t xml:space="preserve">is a </w:t>
            </w:r>
            <w:r w:rsidRPr="00AC6510">
              <w:rPr>
                <w:color w:val="0F1111"/>
                <w:shd w:val="clear" w:color="auto" w:fill="FFFFFF"/>
              </w:rPr>
              <w:t>Registered Nurse and a Licensed Professional Teacher from the Philippines.</w:t>
            </w:r>
            <w:r w:rsidRPr="00AC6510">
              <w:rPr>
                <w:color w:val="000000"/>
                <w:lang w:val="pt-BR"/>
              </w:rPr>
              <w:t xml:space="preserve"> She is a clinical instructor at West Visayas State University – College of Nursing, Iloilo City, Philippines.</w:t>
            </w:r>
          </w:p>
          <w:p w14:paraId="0CA40F19" w14:textId="77777777" w:rsidR="00AC6510" w:rsidRPr="00AC6510" w:rsidRDefault="00AC6510" w:rsidP="00CF52FB">
            <w:pPr>
              <w:rPr>
                <w:i/>
                <w:color w:val="000000"/>
                <w:lang w:val="pt-BR"/>
              </w:rPr>
            </w:pPr>
            <w:r w:rsidRPr="00AC6510">
              <w:rPr>
                <w:i/>
                <w:color w:val="000000"/>
                <w:lang w:val="pt-BR"/>
              </w:rPr>
              <w:t xml:space="preserve">Email: </w:t>
            </w:r>
            <w:hyperlink r:id="rId24" w:history="1">
              <w:r w:rsidRPr="00AC6510">
                <w:rPr>
                  <w:rStyle w:val="Hyperlink"/>
                  <w:i/>
                  <w:lang w:val="pt-BR"/>
                </w:rPr>
                <w:t>maureenlorencevillarino@gmail.com</w:t>
              </w:r>
            </w:hyperlink>
            <w:r w:rsidRPr="00AC6510">
              <w:rPr>
                <w:i/>
                <w:color w:val="000000"/>
                <w:lang w:val="pt-BR"/>
              </w:rPr>
              <w:t xml:space="preserve"> </w:t>
            </w:r>
            <w:hyperlink r:id="rId25" w:history="1"/>
            <w:r w:rsidRPr="00AC6510">
              <w:rPr>
                <w:i/>
                <w:color w:val="000000"/>
                <w:lang w:val="pt-BR"/>
              </w:rPr>
              <w:t xml:space="preserve"> </w:t>
            </w:r>
          </w:p>
          <w:p w14:paraId="4A1F9B27" w14:textId="29BDFBD8" w:rsidR="00AC6510" w:rsidRPr="00AC6510" w:rsidRDefault="00AC6510" w:rsidP="00CF52FB">
            <w:pPr>
              <w:rPr>
                <w:color w:val="000000"/>
                <w:lang w:val="pt-BR"/>
              </w:rPr>
            </w:pPr>
          </w:p>
        </w:tc>
      </w:tr>
      <w:tr w:rsidR="00AC6510" w:rsidRPr="00592CC2" w14:paraId="6C8650AD" w14:textId="77777777" w:rsidTr="00CF52FB">
        <w:tc>
          <w:tcPr>
            <w:tcW w:w="1813" w:type="dxa"/>
          </w:tcPr>
          <w:p w14:paraId="6649A6F7" w14:textId="77777777" w:rsidR="00AC6510" w:rsidRPr="00AC6510" w:rsidRDefault="00AC6510" w:rsidP="00CF52FB">
            <w:pPr>
              <w:rPr>
                <w:color w:val="000000"/>
                <w:lang w:val="pt-BR"/>
              </w:rPr>
            </w:pPr>
          </w:p>
        </w:tc>
        <w:tc>
          <w:tcPr>
            <w:tcW w:w="7260" w:type="dxa"/>
          </w:tcPr>
          <w:p w14:paraId="32972C2C" w14:textId="77777777" w:rsidR="00AC6510" w:rsidRPr="00AC6510" w:rsidRDefault="00AC6510" w:rsidP="00CF52FB">
            <w:pPr>
              <w:jc w:val="both"/>
              <w:rPr>
                <w:color w:val="000000"/>
              </w:rPr>
            </w:pPr>
          </w:p>
        </w:tc>
      </w:tr>
      <w:tr w:rsidR="00AC6510" w:rsidRPr="00592CC2" w14:paraId="576EF4D8" w14:textId="77777777" w:rsidTr="00CF52FB">
        <w:tc>
          <w:tcPr>
            <w:tcW w:w="1813" w:type="dxa"/>
          </w:tcPr>
          <w:p w14:paraId="77D1DBA1" w14:textId="77777777" w:rsidR="00AC6510" w:rsidRPr="00AC6510" w:rsidRDefault="00AC6510" w:rsidP="00CF52FB">
            <w:pPr>
              <w:rPr>
                <w:color w:val="000000"/>
                <w:lang w:val="pt-BR"/>
              </w:rPr>
            </w:pPr>
            <w:r w:rsidRPr="00AC6510">
              <w:rPr>
                <w:b/>
                <w:noProof/>
                <w:lang w:val="en-PH" w:eastAsia="en-PH"/>
              </w:rPr>
              <w:drawing>
                <wp:anchor distT="0" distB="0" distL="114300" distR="114300" simplePos="0" relativeHeight="251662336" behindDoc="0" locked="0" layoutInCell="1" allowOverlap="1" wp14:anchorId="02AB3363" wp14:editId="7CDF1D40">
                  <wp:simplePos x="0" y="0"/>
                  <wp:positionH relativeFrom="column">
                    <wp:posOffset>-38100</wp:posOffset>
                  </wp:positionH>
                  <wp:positionV relativeFrom="paragraph">
                    <wp:posOffset>1270</wp:posOffset>
                  </wp:positionV>
                  <wp:extent cx="1073150" cy="1177925"/>
                  <wp:effectExtent l="0" t="0" r="0" b="3175"/>
                  <wp:wrapThrough wrapText="bothSides">
                    <wp:wrapPolygon edited="0">
                      <wp:start x="0" y="0"/>
                      <wp:lineTo x="0" y="21309"/>
                      <wp:lineTo x="21089" y="21309"/>
                      <wp:lineTo x="2108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3150" cy="1177925"/>
                          </a:xfrm>
                          <a:prstGeom prst="rect">
                            <a:avLst/>
                          </a:prstGeom>
                        </pic:spPr>
                      </pic:pic>
                    </a:graphicData>
                  </a:graphic>
                  <wp14:sizeRelH relativeFrom="page">
                    <wp14:pctWidth>0</wp14:pctWidth>
                  </wp14:sizeRelH>
                  <wp14:sizeRelV relativeFrom="page">
                    <wp14:pctHeight>0</wp14:pctHeight>
                  </wp14:sizeRelV>
                </wp:anchor>
              </w:drawing>
            </w:r>
            <w:r w:rsidRPr="00AC6510">
              <w:rPr>
                <w:noProof/>
                <w:lang w:val="en-PH" w:eastAsia="en-PH"/>
              </w:rPr>
              <w:drawing>
                <wp:anchor distT="0" distB="0" distL="114300" distR="114300" simplePos="0" relativeHeight="251660288" behindDoc="0" locked="0" layoutInCell="1" allowOverlap="1" wp14:anchorId="16721A9D" wp14:editId="3273B4E7">
                  <wp:simplePos x="0" y="0"/>
                  <wp:positionH relativeFrom="column">
                    <wp:posOffset>-29315</wp:posOffset>
                  </wp:positionH>
                  <wp:positionV relativeFrom="paragraph">
                    <wp:posOffset>635</wp:posOffset>
                  </wp:positionV>
                  <wp:extent cx="1082675" cy="11779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14:paraId="48E3A726" w14:textId="77777777" w:rsidR="00AC6510" w:rsidRPr="00AC6510" w:rsidRDefault="00AC6510" w:rsidP="00CF52FB">
            <w:pPr>
              <w:jc w:val="center"/>
              <w:rPr>
                <w:color w:val="000000"/>
                <w:lang w:val="pt-BR"/>
              </w:rPr>
            </w:pPr>
          </w:p>
        </w:tc>
        <w:tc>
          <w:tcPr>
            <w:tcW w:w="7260" w:type="dxa"/>
          </w:tcPr>
          <w:p w14:paraId="609039CA" w14:textId="7934AFCA" w:rsidR="00AC6510" w:rsidRPr="00AC6510" w:rsidRDefault="00AC6510" w:rsidP="00CF52FB">
            <w:pPr>
              <w:jc w:val="both"/>
              <w:rPr>
                <w:color w:val="000000"/>
                <w:lang w:val="pt-BR"/>
              </w:rPr>
            </w:pPr>
            <w:r w:rsidRPr="00AC6510">
              <w:rPr>
                <w:b/>
                <w:color w:val="000000"/>
                <w:lang w:val="pt-BR"/>
              </w:rPr>
              <w:t>Maria Concepcion Temblor</w:t>
            </w:r>
            <w:r w:rsidRPr="00AC6510">
              <w:rPr>
                <w:color w:val="000000"/>
                <w:lang w:val="pt-BR"/>
              </w:rPr>
              <w:t xml:space="preserve"> </w:t>
            </w:r>
            <w:r w:rsidRPr="003847DA">
              <w:rPr>
                <w:noProof/>
                <w:sz w:val="18"/>
                <w:szCs w:val="18"/>
                <w:lang w:val="en-PH" w:eastAsia="en-PH"/>
              </w:rPr>
              <w:drawing>
                <wp:inline distT="0" distB="0" distL="0" distR="0" wp14:anchorId="7548D044" wp14:editId="056AB286">
                  <wp:extent cx="114935" cy="114935"/>
                  <wp:effectExtent l="0" t="0" r="0" b="0"/>
                  <wp:docPr id="40" name="Picture 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694F6EDB" wp14:editId="275CBFE5">
                  <wp:extent cx="114935" cy="114935"/>
                  <wp:effectExtent l="0" t="0" r="0" b="0"/>
                  <wp:docPr id="41" name="Picture 4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2C3A8318" wp14:editId="5BC3ED75">
                  <wp:extent cx="114935" cy="114935"/>
                  <wp:effectExtent l="0" t="0" r="0" b="0"/>
                  <wp:docPr id="42" name="Graphic 1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7" name="Graphic 1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0679951F" wp14:editId="015A8428">
                  <wp:extent cx="114935" cy="114935"/>
                  <wp:effectExtent l="0" t="0" r="0" b="0"/>
                  <wp:docPr id="43" name="Picture 4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AC6510">
              <w:rPr>
                <w:color w:val="000000"/>
                <w:lang w:val="pt-BR"/>
              </w:rPr>
              <w:t>is a faculty at Cebu Technological University-Moalboal Campus. She finished her Bachelor of Science in Biology at Cebu Normal University, Cebu, Philippines.</w:t>
            </w:r>
          </w:p>
          <w:p w14:paraId="1805E42F" w14:textId="77777777" w:rsidR="00AC6510" w:rsidRPr="00AC6510" w:rsidRDefault="00AC6510" w:rsidP="00CF52FB">
            <w:pPr>
              <w:jc w:val="both"/>
              <w:rPr>
                <w:i/>
                <w:color w:val="000000"/>
                <w:lang w:val="pt-BR"/>
              </w:rPr>
            </w:pPr>
            <w:r w:rsidRPr="00AC6510">
              <w:rPr>
                <w:i/>
                <w:color w:val="000000"/>
                <w:lang w:val="pt-BR"/>
              </w:rPr>
              <w:t xml:space="preserve">Email: </w:t>
            </w:r>
            <w:hyperlink r:id="rId27" w:history="1">
              <w:r w:rsidRPr="00AC6510">
                <w:rPr>
                  <w:rStyle w:val="Hyperlink"/>
                  <w:i/>
                  <w:lang w:val="pt-BR"/>
                </w:rPr>
                <w:t>mariaconcepcion.temblor@ctu.edu.ph</w:t>
              </w:r>
            </w:hyperlink>
            <w:r w:rsidRPr="00AC6510">
              <w:rPr>
                <w:i/>
                <w:color w:val="000000"/>
                <w:lang w:val="pt-BR"/>
              </w:rPr>
              <w:t xml:space="preserve"> </w:t>
            </w:r>
            <w:hyperlink r:id="rId28" w:history="1"/>
            <w:r w:rsidRPr="00AC6510">
              <w:rPr>
                <w:i/>
                <w:color w:val="000000"/>
                <w:lang w:val="pt-BR"/>
              </w:rPr>
              <w:t xml:space="preserve"> </w:t>
            </w:r>
          </w:p>
          <w:p w14:paraId="350FA4D5" w14:textId="77777777" w:rsidR="00AC6510" w:rsidRPr="00AC6510" w:rsidRDefault="00AC6510" w:rsidP="00CF52FB">
            <w:pPr>
              <w:rPr>
                <w:color w:val="000000"/>
                <w:lang w:val="pt-BR"/>
              </w:rPr>
            </w:pPr>
          </w:p>
          <w:p w14:paraId="34335D57" w14:textId="77777777" w:rsidR="00AC6510" w:rsidRPr="00AC6510" w:rsidRDefault="00AC6510" w:rsidP="00CF52FB">
            <w:pPr>
              <w:rPr>
                <w:color w:val="000000"/>
                <w:lang w:val="pt-BR"/>
              </w:rPr>
            </w:pPr>
          </w:p>
          <w:p w14:paraId="3190A3E7" w14:textId="77777777" w:rsidR="00AC6510" w:rsidRPr="00AC6510" w:rsidRDefault="00AC6510" w:rsidP="00CF52FB">
            <w:pPr>
              <w:rPr>
                <w:color w:val="000000"/>
                <w:lang w:val="pt-BR"/>
              </w:rPr>
            </w:pPr>
          </w:p>
          <w:p w14:paraId="14ECB1D5" w14:textId="77777777" w:rsidR="00AC6510" w:rsidRPr="00AC6510" w:rsidRDefault="00AC6510" w:rsidP="00CF52FB">
            <w:pPr>
              <w:rPr>
                <w:color w:val="000000"/>
                <w:lang w:val="pt-BR"/>
              </w:rPr>
            </w:pPr>
          </w:p>
        </w:tc>
      </w:tr>
      <w:tr w:rsidR="00AC6510" w:rsidRPr="00592CC2" w14:paraId="68E18735" w14:textId="77777777" w:rsidTr="00CF52FB">
        <w:tc>
          <w:tcPr>
            <w:tcW w:w="1813" w:type="dxa"/>
          </w:tcPr>
          <w:p w14:paraId="56B3F2B6" w14:textId="77777777" w:rsidR="00AC6510" w:rsidRPr="00AC6510" w:rsidRDefault="00AC6510" w:rsidP="00CF52FB">
            <w:pPr>
              <w:rPr>
                <w:color w:val="000000"/>
                <w:lang w:val="pt-BR"/>
              </w:rPr>
            </w:pPr>
          </w:p>
        </w:tc>
        <w:tc>
          <w:tcPr>
            <w:tcW w:w="7260" w:type="dxa"/>
          </w:tcPr>
          <w:p w14:paraId="50730DB4" w14:textId="77777777" w:rsidR="00AC6510" w:rsidRPr="00AC6510" w:rsidRDefault="00AC6510" w:rsidP="00CF52FB">
            <w:pPr>
              <w:jc w:val="both"/>
              <w:rPr>
                <w:color w:val="000000"/>
              </w:rPr>
            </w:pPr>
          </w:p>
        </w:tc>
      </w:tr>
      <w:tr w:rsidR="00AC6510" w:rsidRPr="00592CC2" w14:paraId="4B1B108B" w14:textId="77777777" w:rsidTr="00CF52FB">
        <w:tc>
          <w:tcPr>
            <w:tcW w:w="1813" w:type="dxa"/>
          </w:tcPr>
          <w:p w14:paraId="70AB2A24" w14:textId="28E8D407" w:rsidR="00AC6510" w:rsidRPr="00AC6510" w:rsidRDefault="00AC6510" w:rsidP="00CF52FB">
            <w:pPr>
              <w:rPr>
                <w:color w:val="000000"/>
                <w:lang w:val="pt-BR"/>
              </w:rPr>
            </w:pPr>
            <w:r w:rsidRPr="00AC6510">
              <w:rPr>
                <w:noProof/>
                <w:color w:val="000000"/>
                <w:lang w:val="en-PH" w:eastAsia="en-PH"/>
              </w:rPr>
              <w:drawing>
                <wp:anchor distT="0" distB="0" distL="114300" distR="114300" simplePos="0" relativeHeight="251663360" behindDoc="0" locked="0" layoutInCell="1" allowOverlap="1" wp14:anchorId="1BEFE0C8" wp14:editId="5C8F0A7B">
                  <wp:simplePos x="0" y="0"/>
                  <wp:positionH relativeFrom="column">
                    <wp:posOffset>-40005</wp:posOffset>
                  </wp:positionH>
                  <wp:positionV relativeFrom="paragraph">
                    <wp:posOffset>0</wp:posOffset>
                  </wp:positionV>
                  <wp:extent cx="1123950" cy="1155700"/>
                  <wp:effectExtent l="0" t="0" r="0" b="6350"/>
                  <wp:wrapThrough wrapText="bothSides">
                    <wp:wrapPolygon edited="0">
                      <wp:start x="0" y="0"/>
                      <wp:lineTo x="0" y="21363"/>
                      <wp:lineTo x="21234" y="21363"/>
                      <wp:lineTo x="21234" y="0"/>
                      <wp:lineTo x="0" y="0"/>
                    </wp:wrapPolygon>
                  </wp:wrapThrough>
                  <wp:docPr id="24" name="Picture 24" descr="C:\Users\User\Desktop\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0" w:type="dxa"/>
          </w:tcPr>
          <w:p w14:paraId="717C98E4" w14:textId="3B4F1EDF" w:rsidR="00AC6510" w:rsidRPr="00AC6510" w:rsidRDefault="00AC6510" w:rsidP="00CF52FB">
            <w:pPr>
              <w:jc w:val="both"/>
              <w:rPr>
                <w:color w:val="000000"/>
              </w:rPr>
            </w:pPr>
            <w:r w:rsidRPr="00AC6510">
              <w:rPr>
                <w:b/>
                <w:color w:val="000000"/>
                <w:lang w:val="pt-BR"/>
              </w:rPr>
              <w:t>Dr. Prosper Bernard</w:t>
            </w:r>
            <w:r w:rsidRPr="00AC6510">
              <w:rPr>
                <w:color w:val="000000"/>
                <w:lang w:val="pt-BR"/>
              </w:rPr>
              <w:t xml:space="preserve"> </w:t>
            </w:r>
            <w:r w:rsidRPr="003847DA">
              <w:rPr>
                <w:noProof/>
                <w:sz w:val="18"/>
                <w:szCs w:val="18"/>
                <w:lang w:val="en-PH" w:eastAsia="en-PH"/>
              </w:rPr>
              <w:drawing>
                <wp:inline distT="0" distB="0" distL="0" distR="0" wp14:anchorId="6560309E" wp14:editId="363614E9">
                  <wp:extent cx="114935" cy="114935"/>
                  <wp:effectExtent l="0" t="0" r="0" b="0"/>
                  <wp:docPr id="36" name="Picture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53CCFD9E" wp14:editId="7A2A8178">
                  <wp:extent cx="114935" cy="114935"/>
                  <wp:effectExtent l="0" t="0" r="0" b="0"/>
                  <wp:docPr id="37" name="Picture 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4BB5C816" wp14:editId="17C9D8A0">
                  <wp:extent cx="114935" cy="114935"/>
                  <wp:effectExtent l="0" t="0" r="0" b="0"/>
                  <wp:docPr id="38" name="Graphic 1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7" name="Graphic 1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3588236E" wp14:editId="42C3FA5E">
                  <wp:extent cx="114935" cy="114935"/>
                  <wp:effectExtent l="0" t="0" r="0" b="0"/>
                  <wp:docPr id="39" name="Picture 3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AC6510">
              <w:rPr>
                <w:color w:val="000000"/>
                <w:lang w:val="pt-BR"/>
              </w:rPr>
              <w:t xml:space="preserve">is a full professor at the </w:t>
            </w:r>
            <w:proofErr w:type="spellStart"/>
            <w:r w:rsidRPr="00AC6510">
              <w:rPr>
                <w:color w:val="000000" w:themeColor="text1"/>
                <w:shd w:val="clear" w:color="auto" w:fill="FFFFFF"/>
              </w:rPr>
              <w:t>Université</w:t>
            </w:r>
            <w:proofErr w:type="spellEnd"/>
            <w:r w:rsidRPr="00AC6510">
              <w:rPr>
                <w:color w:val="000000" w:themeColor="text1"/>
                <w:shd w:val="clear" w:color="auto" w:fill="FFFFFF"/>
              </w:rPr>
              <w:t xml:space="preserve"> du Québec à Montréal, Montréal, QC, Canada.</w:t>
            </w:r>
          </w:p>
          <w:p w14:paraId="54025FBC" w14:textId="77777777" w:rsidR="00AC6510" w:rsidRPr="00AC6510" w:rsidRDefault="00AC6510" w:rsidP="00CF52FB">
            <w:pPr>
              <w:rPr>
                <w:i/>
                <w:color w:val="000000"/>
                <w:lang w:val="pt-BR"/>
              </w:rPr>
            </w:pPr>
            <w:r w:rsidRPr="00AC6510">
              <w:rPr>
                <w:i/>
                <w:color w:val="000000"/>
                <w:lang w:val="pt-BR"/>
              </w:rPr>
              <w:t xml:space="preserve"> Email: </w:t>
            </w:r>
            <w:r w:rsidR="00C0439B">
              <w:fldChar w:fldCharType="begin"/>
            </w:r>
            <w:r w:rsidR="00C0439B">
              <w:instrText xml:space="preserve"> HYPERLINK "mailto:prosper.bernard@uqam.edu.ca" </w:instrText>
            </w:r>
            <w:r w:rsidR="00C0439B">
              <w:fldChar w:fldCharType="separate"/>
            </w:r>
            <w:r w:rsidRPr="00AC6510">
              <w:rPr>
                <w:rStyle w:val="Hyperlink"/>
                <w:i/>
                <w:lang w:val="pt-BR"/>
              </w:rPr>
              <w:t>prosper.bernard@uqam.edu.ca</w:t>
            </w:r>
            <w:r w:rsidR="00C0439B">
              <w:rPr>
                <w:rStyle w:val="Hyperlink"/>
                <w:i/>
                <w:lang w:val="pt-BR"/>
              </w:rPr>
              <w:fldChar w:fldCharType="end"/>
            </w:r>
            <w:r w:rsidRPr="00AC6510">
              <w:rPr>
                <w:i/>
                <w:color w:val="000000"/>
                <w:lang w:val="pt-BR"/>
              </w:rPr>
              <w:t xml:space="preserve">  </w:t>
            </w:r>
            <w:hyperlink r:id="rId30" w:history="1"/>
            <w:r w:rsidRPr="00AC6510">
              <w:rPr>
                <w:i/>
                <w:color w:val="000000"/>
                <w:lang w:val="pt-BR"/>
              </w:rPr>
              <w:t xml:space="preserve"> </w:t>
            </w:r>
          </w:p>
          <w:p w14:paraId="7A1F8157" w14:textId="77777777" w:rsidR="00AC6510" w:rsidRPr="00AC6510" w:rsidRDefault="00AC6510" w:rsidP="00CF52FB">
            <w:pPr>
              <w:jc w:val="both"/>
              <w:rPr>
                <w:color w:val="000000"/>
              </w:rPr>
            </w:pPr>
          </w:p>
          <w:p w14:paraId="25B1E2D7" w14:textId="77777777" w:rsidR="00AC6510" w:rsidRPr="00AC6510" w:rsidRDefault="00AC6510" w:rsidP="00CF52FB">
            <w:pPr>
              <w:jc w:val="both"/>
              <w:rPr>
                <w:color w:val="000000"/>
              </w:rPr>
            </w:pPr>
          </w:p>
          <w:p w14:paraId="34580BE0" w14:textId="77777777" w:rsidR="00AC6510" w:rsidRPr="00AC6510" w:rsidRDefault="00AC6510" w:rsidP="00CF52FB">
            <w:pPr>
              <w:jc w:val="both"/>
              <w:rPr>
                <w:color w:val="000000"/>
              </w:rPr>
            </w:pPr>
          </w:p>
          <w:p w14:paraId="30CC6BF0" w14:textId="77777777" w:rsidR="00AC6510" w:rsidRPr="00AC6510" w:rsidRDefault="00AC6510" w:rsidP="00CF52FB">
            <w:pPr>
              <w:jc w:val="both"/>
              <w:rPr>
                <w:color w:val="000000"/>
              </w:rPr>
            </w:pPr>
          </w:p>
          <w:p w14:paraId="2D55AEAE" w14:textId="77777777" w:rsidR="00AC6510" w:rsidRPr="00AC6510" w:rsidRDefault="00AC6510" w:rsidP="00CF52FB">
            <w:pPr>
              <w:jc w:val="both"/>
              <w:rPr>
                <w:color w:val="000000"/>
              </w:rPr>
            </w:pPr>
          </w:p>
        </w:tc>
      </w:tr>
      <w:tr w:rsidR="00AC6510" w:rsidRPr="00592CC2" w14:paraId="522CB0C5" w14:textId="77777777" w:rsidTr="00CF52FB">
        <w:tc>
          <w:tcPr>
            <w:tcW w:w="1813" w:type="dxa"/>
          </w:tcPr>
          <w:p w14:paraId="68567B56" w14:textId="77777777" w:rsidR="00AC6510" w:rsidRPr="00AC6510" w:rsidRDefault="00AC6510" w:rsidP="00CF52FB">
            <w:pPr>
              <w:rPr>
                <w:color w:val="000000"/>
                <w:lang w:val="pt-BR"/>
              </w:rPr>
            </w:pPr>
          </w:p>
        </w:tc>
        <w:tc>
          <w:tcPr>
            <w:tcW w:w="7260" w:type="dxa"/>
          </w:tcPr>
          <w:p w14:paraId="58C68016" w14:textId="77777777" w:rsidR="00AC6510" w:rsidRPr="00AC6510" w:rsidRDefault="00AC6510" w:rsidP="00CF52FB">
            <w:pPr>
              <w:jc w:val="both"/>
              <w:rPr>
                <w:color w:val="000000"/>
              </w:rPr>
            </w:pPr>
          </w:p>
        </w:tc>
      </w:tr>
      <w:tr w:rsidR="00AC6510" w:rsidRPr="00592CC2" w14:paraId="78F0BA43" w14:textId="77777777" w:rsidTr="00CF52FB">
        <w:tc>
          <w:tcPr>
            <w:tcW w:w="1813" w:type="dxa"/>
          </w:tcPr>
          <w:p w14:paraId="17865B2C" w14:textId="77777777" w:rsidR="00AC6510" w:rsidRPr="00AC6510" w:rsidRDefault="00AC6510" w:rsidP="00CF52FB">
            <w:pPr>
              <w:rPr>
                <w:color w:val="000000"/>
                <w:lang w:val="pt-BR"/>
              </w:rPr>
            </w:pPr>
            <w:r w:rsidRPr="00AC6510">
              <w:rPr>
                <w:noProof/>
                <w:lang w:val="en-PH" w:eastAsia="en-PH"/>
              </w:rPr>
              <w:drawing>
                <wp:anchor distT="0" distB="0" distL="114300" distR="114300" simplePos="0" relativeHeight="251664384" behindDoc="0" locked="0" layoutInCell="1" allowOverlap="1" wp14:anchorId="769208DE" wp14:editId="5B6B13F9">
                  <wp:simplePos x="0" y="0"/>
                  <wp:positionH relativeFrom="column">
                    <wp:posOffset>-38100</wp:posOffset>
                  </wp:positionH>
                  <wp:positionV relativeFrom="paragraph">
                    <wp:posOffset>0</wp:posOffset>
                  </wp:positionV>
                  <wp:extent cx="1073150" cy="1066800"/>
                  <wp:effectExtent l="0" t="0" r="0" b="0"/>
                  <wp:wrapThrough wrapText="bothSides">
                    <wp:wrapPolygon edited="0">
                      <wp:start x="0" y="0"/>
                      <wp:lineTo x="0" y="21214"/>
                      <wp:lineTo x="21089" y="21214"/>
                      <wp:lineTo x="21089" y="0"/>
                      <wp:lineTo x="0" y="0"/>
                    </wp:wrapPolygon>
                  </wp:wrapThrough>
                  <wp:docPr id="25" name="Picture 25" descr="C:\Users\User\Desktop\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31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0" w:type="dxa"/>
          </w:tcPr>
          <w:p w14:paraId="5EAF9E5D" w14:textId="0C45ED43" w:rsidR="00AC6510" w:rsidRPr="00AC6510" w:rsidRDefault="00AC6510" w:rsidP="00CF52FB">
            <w:pPr>
              <w:jc w:val="both"/>
              <w:rPr>
                <w:color w:val="000000"/>
              </w:rPr>
            </w:pPr>
            <w:r w:rsidRPr="00AC6510">
              <w:rPr>
                <w:b/>
                <w:color w:val="000000"/>
                <w:lang w:val="pt-BR"/>
              </w:rPr>
              <w:t>Dr. Michel Plaisent</w:t>
            </w:r>
            <w:r>
              <w:rPr>
                <w:b/>
                <w:color w:val="000000"/>
                <w:lang w:val="pt-BR"/>
              </w:rPr>
              <w:t xml:space="preserve"> </w:t>
            </w:r>
            <w:r w:rsidRPr="003847DA">
              <w:rPr>
                <w:noProof/>
                <w:sz w:val="18"/>
                <w:szCs w:val="18"/>
                <w:lang w:val="en-PH" w:eastAsia="en-PH"/>
              </w:rPr>
              <w:drawing>
                <wp:inline distT="0" distB="0" distL="0" distR="0" wp14:anchorId="0546DA1A" wp14:editId="0A29DC3C">
                  <wp:extent cx="114935" cy="114935"/>
                  <wp:effectExtent l="0" t="0" r="0" b="0"/>
                  <wp:docPr id="32" name="Picture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02F29389" wp14:editId="2F12A8EA">
                  <wp:extent cx="114935" cy="114935"/>
                  <wp:effectExtent l="0" t="0" r="0" b="0"/>
                  <wp:docPr id="33" name="Picture 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79E6F10C" wp14:editId="2BBA5A9D">
                  <wp:extent cx="114935" cy="114935"/>
                  <wp:effectExtent l="0" t="0" r="0" b="0"/>
                  <wp:docPr id="34" name="Graphic 1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7" name="Graphic 1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PH" w:eastAsia="en-PH"/>
              </w:rPr>
              <w:drawing>
                <wp:inline distT="0" distB="0" distL="0" distR="0" wp14:anchorId="2732F940" wp14:editId="6990D946">
                  <wp:extent cx="114935" cy="114935"/>
                  <wp:effectExtent l="0" t="0" r="0" b="0"/>
                  <wp:docPr id="35" name="Picture 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AC6510">
              <w:rPr>
                <w:color w:val="000000"/>
                <w:lang w:val="pt-BR"/>
              </w:rPr>
              <w:t xml:space="preserve">is a full professor at the </w:t>
            </w:r>
            <w:proofErr w:type="spellStart"/>
            <w:r w:rsidRPr="00AC6510">
              <w:rPr>
                <w:color w:val="000000" w:themeColor="text1"/>
                <w:shd w:val="clear" w:color="auto" w:fill="FFFFFF"/>
              </w:rPr>
              <w:t>Université</w:t>
            </w:r>
            <w:proofErr w:type="spellEnd"/>
            <w:r w:rsidRPr="00AC6510">
              <w:rPr>
                <w:color w:val="000000" w:themeColor="text1"/>
                <w:shd w:val="clear" w:color="auto" w:fill="FFFFFF"/>
              </w:rPr>
              <w:t xml:space="preserve"> du Québec à Montréal, Montréal, QC, Canada.</w:t>
            </w:r>
          </w:p>
          <w:p w14:paraId="125B3878" w14:textId="77777777" w:rsidR="00AC6510" w:rsidRPr="00AC6510" w:rsidRDefault="00AC6510" w:rsidP="00CF52FB">
            <w:pPr>
              <w:rPr>
                <w:i/>
                <w:color w:val="000000"/>
                <w:lang w:val="pt-BR"/>
              </w:rPr>
            </w:pPr>
            <w:r w:rsidRPr="00AC6510">
              <w:rPr>
                <w:i/>
                <w:color w:val="000000"/>
                <w:lang w:val="pt-BR"/>
              </w:rPr>
              <w:t xml:space="preserve">Email: </w:t>
            </w:r>
            <w:hyperlink r:id="rId32" w:history="1">
              <w:r w:rsidRPr="00AC6510">
                <w:rPr>
                  <w:rStyle w:val="Hyperlink"/>
                  <w:i/>
                  <w:lang w:val="pt-BR"/>
                </w:rPr>
                <w:t>michel.plaisent@uqam.edu.ca</w:t>
              </w:r>
            </w:hyperlink>
            <w:r w:rsidRPr="00AC6510">
              <w:rPr>
                <w:i/>
                <w:color w:val="000000"/>
                <w:lang w:val="pt-BR"/>
              </w:rPr>
              <w:t xml:space="preserve">  </w:t>
            </w:r>
            <w:hyperlink r:id="rId33" w:history="1"/>
            <w:r w:rsidRPr="00AC6510">
              <w:rPr>
                <w:rStyle w:val="Hyperlink"/>
                <w:i/>
                <w:u w:val="none"/>
                <w:lang w:val="pt-BR"/>
              </w:rPr>
              <w:t xml:space="preserve"> </w:t>
            </w:r>
            <w:r w:rsidRPr="00AC6510">
              <w:rPr>
                <w:i/>
                <w:color w:val="000000"/>
                <w:lang w:val="pt-BR"/>
              </w:rPr>
              <w:t xml:space="preserve"> </w:t>
            </w:r>
            <w:hyperlink r:id="rId34" w:history="1"/>
            <w:r w:rsidRPr="00AC6510">
              <w:rPr>
                <w:i/>
                <w:color w:val="000000"/>
                <w:lang w:val="pt-BR"/>
              </w:rPr>
              <w:t xml:space="preserve"> </w:t>
            </w:r>
          </w:p>
          <w:p w14:paraId="6888796F" w14:textId="34003F57" w:rsidR="00AC6510" w:rsidRPr="00AC6510" w:rsidRDefault="00AC6510" w:rsidP="00CF52FB">
            <w:pPr>
              <w:jc w:val="both"/>
              <w:rPr>
                <w:color w:val="000000"/>
              </w:rPr>
            </w:pPr>
          </w:p>
          <w:p w14:paraId="56A77DE6" w14:textId="77777777" w:rsidR="00AC6510" w:rsidRPr="00AC6510" w:rsidRDefault="00AC6510" w:rsidP="00CF52FB">
            <w:pPr>
              <w:jc w:val="both"/>
              <w:rPr>
                <w:color w:val="000000"/>
              </w:rPr>
            </w:pPr>
          </w:p>
          <w:p w14:paraId="7295D3F1" w14:textId="77777777" w:rsidR="00AC6510" w:rsidRPr="00AC6510" w:rsidRDefault="00AC6510" w:rsidP="00CF52FB">
            <w:pPr>
              <w:jc w:val="both"/>
              <w:rPr>
                <w:color w:val="000000"/>
              </w:rPr>
            </w:pPr>
          </w:p>
        </w:tc>
      </w:tr>
      <w:tr w:rsidR="00AC6510" w:rsidRPr="00592CC2" w14:paraId="243848BF" w14:textId="77777777" w:rsidTr="00AC6510">
        <w:trPr>
          <w:trHeight w:val="20"/>
        </w:trPr>
        <w:tc>
          <w:tcPr>
            <w:tcW w:w="1813" w:type="dxa"/>
          </w:tcPr>
          <w:p w14:paraId="462683F7" w14:textId="77777777" w:rsidR="00AC6510" w:rsidRPr="00592CC2" w:rsidRDefault="00AC6510" w:rsidP="00CF52FB">
            <w:pPr>
              <w:rPr>
                <w:rFonts w:asciiTheme="majorHAnsi" w:hAnsiTheme="majorHAnsi"/>
                <w:color w:val="000000"/>
                <w:sz w:val="4"/>
                <w:szCs w:val="4"/>
                <w:lang w:val="pt-BR"/>
              </w:rPr>
            </w:pPr>
          </w:p>
        </w:tc>
        <w:tc>
          <w:tcPr>
            <w:tcW w:w="7260" w:type="dxa"/>
          </w:tcPr>
          <w:p w14:paraId="4EA17CA9" w14:textId="77777777" w:rsidR="00AC6510" w:rsidRPr="00592CC2" w:rsidRDefault="00AC6510" w:rsidP="00CF52FB">
            <w:pPr>
              <w:jc w:val="both"/>
              <w:rPr>
                <w:rFonts w:asciiTheme="majorHAnsi" w:hAnsiTheme="majorHAnsi"/>
                <w:color w:val="000000"/>
                <w:sz w:val="4"/>
                <w:szCs w:val="4"/>
              </w:rPr>
            </w:pPr>
          </w:p>
        </w:tc>
      </w:tr>
    </w:tbl>
    <w:p w14:paraId="1E4B89B3" w14:textId="77777777" w:rsidR="00AC6510" w:rsidRPr="00592CC2" w:rsidRDefault="00AC6510" w:rsidP="00AC6510">
      <w:pPr>
        <w:jc w:val="both"/>
        <w:rPr>
          <w:rFonts w:asciiTheme="majorHAnsi" w:hAnsiTheme="majorHAnsi"/>
          <w:color w:val="000000"/>
          <w:sz w:val="18"/>
          <w:szCs w:val="18"/>
        </w:rPr>
      </w:pPr>
    </w:p>
    <w:sectPr w:rsidR="00AC6510" w:rsidRPr="00592CC2"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6E88" w14:textId="77777777" w:rsidR="00C0439B" w:rsidRDefault="00C0439B">
      <w:r>
        <w:separator/>
      </w:r>
    </w:p>
  </w:endnote>
  <w:endnote w:type="continuationSeparator" w:id="0">
    <w:p w14:paraId="280E7A8F" w14:textId="77777777" w:rsidR="00C0439B" w:rsidRDefault="00C0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2BC2" w14:textId="750AB7EA" w:rsidR="00097958" w:rsidRPr="003D5B84" w:rsidRDefault="00050148" w:rsidP="00C07BEF">
    <w:pPr>
      <w:pStyle w:val="Header"/>
      <w:tabs>
        <w:tab w:val="clear" w:pos="4320"/>
        <w:tab w:val="clear" w:pos="8640"/>
        <w:tab w:val="left" w:pos="2992"/>
      </w:tabs>
      <w:spacing w:before="240"/>
    </w:pPr>
    <w:r>
      <w:rPr>
        <w:noProof/>
        <w:lang w:val="en-PH" w:eastAsia="en-PH"/>
      </w:rPr>
      <mc:AlternateContent>
        <mc:Choice Requires="wps">
          <w:drawing>
            <wp:anchor distT="0" distB="0" distL="114300" distR="114300" simplePos="0" relativeHeight="251656192" behindDoc="0" locked="0" layoutInCell="1" allowOverlap="1" wp14:anchorId="307E942D" wp14:editId="1E2FA531">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335B8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n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u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"/>
          </w:pict>
        </mc:Fallback>
      </mc:AlternateContent>
    </w:r>
    <w:r w:rsidR="004D3838">
      <w:rPr>
        <w:noProof/>
      </w:rPr>
      <w:t>Int J Public Health Sci</w:t>
    </w:r>
    <w:r w:rsidR="00784C44" w:rsidRPr="00E619D6">
      <w:t xml:space="preserve">, </w:t>
    </w:r>
    <w:r w:rsidR="00097958" w:rsidRPr="00E619D6">
      <w:t xml:space="preserve">Vol. </w:t>
    </w:r>
    <w:r w:rsidR="002C4131">
      <w:t>99</w:t>
    </w:r>
    <w:r w:rsidR="00097958" w:rsidRPr="00E619D6">
      <w:t xml:space="preserve">, No. </w:t>
    </w:r>
    <w:r w:rsidR="002C4131">
      <w:t>1</w:t>
    </w:r>
    <w:r w:rsidR="0055343D" w:rsidRPr="00E619D6">
      <w:t xml:space="preserve">, </w:t>
    </w:r>
    <w:r w:rsidR="00A45398" w:rsidRPr="00735BBC">
      <w:t>Month</w:t>
    </w:r>
    <w:r w:rsidR="003A2810" w:rsidRPr="00735BBC">
      <w:t xml:space="preserve"> </w:t>
    </w:r>
    <w:r w:rsidR="003E4DD5" w:rsidRPr="00735BBC">
      <w:t>20</w:t>
    </w:r>
    <w:r w:rsidR="002C4131">
      <w:t>99</w:t>
    </w:r>
    <w:r w:rsidR="00E305A0" w:rsidRPr="00735BBC">
      <w:t>:</w:t>
    </w:r>
    <w:r w:rsidR="00097958" w:rsidRPr="00735BBC">
      <w:t xml:space="preserve"> </w:t>
    </w:r>
    <w:r w:rsidR="002C4131">
      <w:t>1</w:t>
    </w:r>
    <w:r w:rsidR="00BB48F9" w:rsidRPr="00735BBC">
      <w:t>-</w:t>
    </w:r>
    <w:r w:rsidR="002C4131">
      <w:t>1x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B96C" w14:textId="2CA8CBE9" w:rsidR="00097958" w:rsidRPr="00C07BEF" w:rsidRDefault="00DA3BBA" w:rsidP="00DA3BBA">
    <w:pPr>
      <w:pStyle w:val="Footer"/>
      <w:jc w:val="right"/>
      <w:rPr>
        <w:i/>
      </w:rPr>
    </w:pPr>
    <w:r>
      <w:rPr>
        <w:noProof/>
        <w:lang w:val="en-PH" w:eastAsia="en-PH"/>
      </w:rPr>
      <mc:AlternateContent>
        <mc:Choice Requires="wps">
          <w:drawing>
            <wp:anchor distT="0" distB="0" distL="114300" distR="114300" simplePos="0" relativeHeight="251658240" behindDoc="0" locked="0" layoutInCell="1" allowOverlap="1" wp14:anchorId="62A3734C" wp14:editId="3BAE0A66">
              <wp:simplePos x="0" y="0"/>
              <wp:positionH relativeFrom="column">
                <wp:posOffset>-82608</wp:posOffset>
              </wp:positionH>
              <wp:positionV relativeFrom="paragraph">
                <wp:posOffset>-429</wp:posOffset>
              </wp:positionV>
              <wp:extent cx="5795159" cy="0"/>
              <wp:effectExtent l="0" t="0" r="1524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1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F003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5pt" to="44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88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DD03" w14:textId="5DDC30A1" w:rsidR="00097958" w:rsidRPr="003D5B84" w:rsidRDefault="00453F49" w:rsidP="00453F49">
    <w:pPr>
      <w:pStyle w:val="Footer"/>
      <w:spacing w:before="240"/>
      <w:rPr>
        <w:i/>
        <w:szCs w:val="18"/>
      </w:rPr>
    </w:pPr>
    <w:r>
      <w:rPr>
        <w:noProof/>
        <w:lang w:val="en-PH" w:eastAsia="en-PH"/>
      </w:rPr>
      <mc:AlternateContent>
        <mc:Choice Requires="wps">
          <w:drawing>
            <wp:anchor distT="0" distB="0" distL="114300" distR="114300" simplePos="0" relativeHeight="251659264" behindDoc="0" locked="0" layoutInCell="1" allowOverlap="1" wp14:anchorId="066E0B6C" wp14:editId="39513EC1">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2D9203"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OJtn8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"/>
          </w:pict>
        </mc:Fallback>
      </mc:AlternateContent>
    </w:r>
    <w:r w:rsidR="00C854C1" w:rsidRPr="00C854C1">
      <w:rPr>
        <w:b/>
        <w:i/>
        <w:szCs w:val="18"/>
      </w:rPr>
      <w:t>Journal homepage</w:t>
    </w:r>
    <w:r w:rsidR="00C854C1">
      <w:rPr>
        <w:i/>
        <w:szCs w:val="18"/>
      </w:rPr>
      <w:t xml:space="preserve">: </w:t>
    </w:r>
    <w:r w:rsidR="004D3838" w:rsidRPr="00CF3F5F">
      <w:rPr>
        <w:i/>
        <w:szCs w:val="18"/>
      </w:rPr>
      <w:t>http://</w:t>
    </w:r>
    <w:r w:rsidR="004D3838">
      <w:rPr>
        <w:i/>
        <w:szCs w:val="18"/>
      </w:rPr>
      <w:t>ijph</w:t>
    </w:r>
    <w:r w:rsidR="004D3838" w:rsidRPr="00CF3F5F">
      <w:rPr>
        <w:i/>
        <w:szCs w:val="18"/>
      </w:rPr>
      <w:t>s.iaescore.com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5947" w14:textId="77777777" w:rsidR="00C0439B" w:rsidRDefault="00C0439B">
      <w:r>
        <w:separator/>
      </w:r>
    </w:p>
  </w:footnote>
  <w:footnote w:type="continuationSeparator" w:id="0">
    <w:p w14:paraId="55C94BD1" w14:textId="77777777" w:rsidR="00C0439B" w:rsidRDefault="00C0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E139" w14:textId="683A28EF"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042CB">
      <w:rPr>
        <w:rStyle w:val="PageNumber"/>
        <w:noProof/>
      </w:rPr>
      <w:t>2</w:t>
    </w:r>
    <w:r w:rsidRPr="003D5B84">
      <w:rPr>
        <w:rStyle w:val="PageNumber"/>
      </w:rPr>
      <w:fldChar w:fldCharType="end"/>
    </w:r>
  </w:p>
  <w:p w14:paraId="7F150106" w14:textId="66241174" w:rsidR="00097958" w:rsidRPr="003D5B84" w:rsidRDefault="00050148" w:rsidP="00C07BEF">
    <w:pPr>
      <w:pStyle w:val="Header"/>
      <w:tabs>
        <w:tab w:val="clear" w:pos="4320"/>
        <w:tab w:val="clear" w:pos="8640"/>
        <w:tab w:val="right" w:pos="851"/>
        <w:tab w:val="left" w:pos="3405"/>
        <w:tab w:val="right" w:pos="8789"/>
      </w:tabs>
      <w:spacing w:after="240"/>
    </w:pPr>
    <w:r>
      <w:rPr>
        <w:noProof/>
        <w:lang w:val="en-PH" w:eastAsia="en-PH"/>
      </w:rPr>
      <mc:AlternateContent>
        <mc:Choice Requires="wps">
          <w:drawing>
            <wp:anchor distT="0" distB="0" distL="114300" distR="114300" simplePos="0" relativeHeight="251655168" behindDoc="0" locked="0" layoutInCell="1" allowOverlap="1" wp14:anchorId="36240665" wp14:editId="210EDC12">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AA61E0"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n2Sx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4D3838" w:rsidRPr="00FC7B4B">
      <w:t>2252-8806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BB40" w14:textId="3DB0CA4E"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042CB">
      <w:rPr>
        <w:rStyle w:val="PageNumber"/>
        <w:noProof/>
      </w:rPr>
      <w:t>3</w:t>
    </w:r>
    <w:r w:rsidRPr="003D5B84">
      <w:rPr>
        <w:rStyle w:val="PageNumber"/>
      </w:rPr>
      <w:fldChar w:fldCharType="end"/>
    </w:r>
  </w:p>
  <w:p w14:paraId="72D04B55" w14:textId="073023F5" w:rsidR="00097958" w:rsidRPr="003D5B84" w:rsidRDefault="004D3838" w:rsidP="00222701">
    <w:pPr>
      <w:pStyle w:val="Header"/>
      <w:tabs>
        <w:tab w:val="clear" w:pos="4320"/>
        <w:tab w:val="clear" w:pos="8640"/>
        <w:tab w:val="left" w:pos="0"/>
        <w:tab w:val="center" w:pos="4301"/>
        <w:tab w:val="left" w:pos="7938"/>
      </w:tabs>
    </w:pPr>
    <w:r>
      <w:rPr>
        <w:noProof/>
      </w:rPr>
      <w:t>Int J Public Health Sci</w:t>
    </w:r>
    <w:r w:rsidR="00097958" w:rsidRPr="003D5B84">
      <w:t xml:space="preserve"> </w:t>
    </w:r>
    <w:r w:rsidR="00097958" w:rsidRPr="003D5B84">
      <w:tab/>
      <w:t>ISSN:</w:t>
    </w:r>
    <w:r w:rsidR="004F4003">
      <w:t xml:space="preserve"> </w:t>
    </w:r>
    <w:r w:rsidRPr="00D10C2A">
      <w:t>2252-8806</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lang w:val="en-PH" w:eastAsia="en-PH"/>
      </w:rPr>
      <mc:AlternateContent>
        <mc:Choice Requires="wps">
          <w:drawing>
            <wp:anchor distT="0" distB="0" distL="114300" distR="114300" simplePos="0" relativeHeight="251657216" behindDoc="0" locked="0" layoutInCell="1" allowOverlap="1" wp14:anchorId="485510DB" wp14:editId="521D6F17">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79B78"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n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gh7GcwroCwSm1tmJAe1at51vS7Q0pXHVEtj8FvJwO5WchI3qWEizNQZTd80QxiCODH&#10;ZR0b2wdIWAM6Rk5ON0740SMKH6ezbJam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FFE7" w14:textId="77777777" w:rsidR="004D3838" w:rsidRDefault="004D3838" w:rsidP="004D3838">
    <w:pPr>
      <w:pStyle w:val="Header"/>
      <w:tabs>
        <w:tab w:val="left" w:pos="720"/>
      </w:tabs>
      <w:ind w:right="45"/>
      <w:rPr>
        <w:b/>
      </w:rPr>
    </w:pPr>
    <w:r>
      <w:rPr>
        <w:b/>
      </w:rPr>
      <w:t>International Journal of Public Health Science (IJPHS)</w:t>
    </w:r>
  </w:p>
  <w:p w14:paraId="22713C07" w14:textId="52FF58DC" w:rsidR="004D3838" w:rsidRPr="003D5B84" w:rsidRDefault="004D3838" w:rsidP="004D3838">
    <w:pPr>
      <w:pStyle w:val="Header"/>
      <w:tabs>
        <w:tab w:val="clear" w:pos="4320"/>
        <w:tab w:val="clear" w:pos="8640"/>
      </w:tabs>
      <w:ind w:right="45"/>
    </w:pPr>
    <w:r w:rsidRPr="003D5B84">
      <w:t>Vol.</w:t>
    </w:r>
    <w:r>
      <w:t xml:space="preserve"> </w:t>
    </w:r>
    <w:r w:rsidR="00822CE1">
      <w:t>99</w:t>
    </w:r>
    <w:r w:rsidRPr="003D5B84">
      <w:t>, No.</w:t>
    </w:r>
    <w:r>
      <w:t xml:space="preserve"> </w:t>
    </w:r>
    <w:r w:rsidR="00822CE1">
      <w:t>1</w:t>
    </w:r>
    <w:r w:rsidRPr="003D5B84">
      <w:t xml:space="preserve">, </w:t>
    </w:r>
    <w:r>
      <w:t>Month 20</w:t>
    </w:r>
    <w:r w:rsidR="00822CE1">
      <w:t>99</w:t>
    </w:r>
    <w:r w:rsidRPr="003D5B84">
      <w:t xml:space="preserve">, pp. </w:t>
    </w:r>
    <w:r w:rsidR="00822CE1">
      <w:t>1</w:t>
    </w:r>
    <w:r w:rsidRPr="003D5B84">
      <w:t>~</w:t>
    </w:r>
    <w:r w:rsidR="00822CE1">
      <w:t>1x</w:t>
    </w:r>
  </w:p>
  <w:p w14:paraId="2A371CCD" w14:textId="25604719" w:rsidR="00097958" w:rsidRDefault="004D3838" w:rsidP="004D3838">
    <w:pPr>
      <w:pStyle w:val="Header"/>
      <w:tabs>
        <w:tab w:val="clear" w:pos="4320"/>
        <w:tab w:val="clear" w:pos="8640"/>
        <w:tab w:val="left" w:pos="7938"/>
        <w:tab w:val="right" w:pos="8789"/>
      </w:tabs>
      <w:rPr>
        <w:rStyle w:val="PageNumber"/>
      </w:rPr>
    </w:pPr>
    <w:r>
      <w:t>ISSN: 2252-8806, DOI: 10.11591/ijphs.v</w:t>
    </w:r>
    <w:r w:rsidR="00822CE1">
      <w:t>99</w:t>
    </w:r>
    <w:r>
      <w:t>i</w:t>
    </w:r>
    <w:r w:rsidR="00822CE1">
      <w:t>1</w:t>
    </w:r>
    <w:r>
      <w:t>.paperID</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C042CB">
      <w:rPr>
        <w:rStyle w:val="PageNumber"/>
        <w:noProof/>
      </w:rPr>
      <w:t>1</w:t>
    </w:r>
    <w:r w:rsidR="00C3666D" w:rsidRPr="003D5B84">
      <w:rPr>
        <w:rStyle w:val="PageNumber"/>
      </w:rPr>
      <w:fldChar w:fldCharType="end"/>
    </w:r>
    <w:r w:rsidR="00050148">
      <w:rPr>
        <w:noProof/>
        <w:lang w:val="en-PH" w:eastAsia="en-PH"/>
      </w:rPr>
      <mc:AlternateContent>
        <mc:Choice Requires="wps">
          <w:drawing>
            <wp:anchor distT="0" distB="0" distL="114300" distR="114300" simplePos="0" relativeHeight="251660288" behindDoc="0" locked="0" layoutInCell="1" allowOverlap="1" wp14:anchorId="480481AD" wp14:editId="6931DF52">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26D8A"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2zeZq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4AE2080"/>
    <w:multiLevelType w:val="hybridMultilevel"/>
    <w:tmpl w:val="01CC2F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9"/>
  </w:num>
  <w:num w:numId="4">
    <w:abstractNumId w:val="8"/>
  </w:num>
  <w:num w:numId="5">
    <w:abstractNumId w:val="11"/>
  </w:num>
  <w:num w:numId="6">
    <w:abstractNumId w:val="16"/>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8"/>
  </w:num>
  <w:num w:numId="16">
    <w:abstractNumId w:val="5"/>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3NbcwNDA2sLCwNDJV0lEKTi0uzszPAykwqwUAOQ/7xCwAAAA="/>
  </w:docVars>
  <w:rsids>
    <w:rsidRoot w:val="007D0AC6"/>
    <w:rsid w:val="000013CF"/>
    <w:rsid w:val="00002882"/>
    <w:rsid w:val="00003437"/>
    <w:rsid w:val="0000385F"/>
    <w:rsid w:val="00005EFC"/>
    <w:rsid w:val="00007744"/>
    <w:rsid w:val="000106D0"/>
    <w:rsid w:val="00012CEF"/>
    <w:rsid w:val="00014633"/>
    <w:rsid w:val="000157FD"/>
    <w:rsid w:val="0001593E"/>
    <w:rsid w:val="00015F2A"/>
    <w:rsid w:val="00017858"/>
    <w:rsid w:val="0002123A"/>
    <w:rsid w:val="00022D47"/>
    <w:rsid w:val="00025339"/>
    <w:rsid w:val="00027142"/>
    <w:rsid w:val="000279BE"/>
    <w:rsid w:val="00027CC4"/>
    <w:rsid w:val="00034C84"/>
    <w:rsid w:val="000416A3"/>
    <w:rsid w:val="000437AE"/>
    <w:rsid w:val="000442C6"/>
    <w:rsid w:val="000474E3"/>
    <w:rsid w:val="00047710"/>
    <w:rsid w:val="00050148"/>
    <w:rsid w:val="000523C5"/>
    <w:rsid w:val="00053306"/>
    <w:rsid w:val="00053FB7"/>
    <w:rsid w:val="00055571"/>
    <w:rsid w:val="0006020A"/>
    <w:rsid w:val="00060330"/>
    <w:rsid w:val="00060F5C"/>
    <w:rsid w:val="00061D77"/>
    <w:rsid w:val="00062720"/>
    <w:rsid w:val="00062EE6"/>
    <w:rsid w:val="00063653"/>
    <w:rsid w:val="00064AB2"/>
    <w:rsid w:val="00065191"/>
    <w:rsid w:val="00066063"/>
    <w:rsid w:val="0007067D"/>
    <w:rsid w:val="0007154C"/>
    <w:rsid w:val="0007236F"/>
    <w:rsid w:val="00073422"/>
    <w:rsid w:val="00073446"/>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4CD6"/>
    <w:rsid w:val="000C730A"/>
    <w:rsid w:val="000D099B"/>
    <w:rsid w:val="000D3712"/>
    <w:rsid w:val="000D438F"/>
    <w:rsid w:val="000D50C8"/>
    <w:rsid w:val="000D6591"/>
    <w:rsid w:val="000D67F7"/>
    <w:rsid w:val="000D6BC3"/>
    <w:rsid w:val="000D6DF2"/>
    <w:rsid w:val="000D7023"/>
    <w:rsid w:val="000E0AE1"/>
    <w:rsid w:val="000E0C84"/>
    <w:rsid w:val="000E0CE9"/>
    <w:rsid w:val="000E0E3C"/>
    <w:rsid w:val="000E1C9D"/>
    <w:rsid w:val="000E28E0"/>
    <w:rsid w:val="000E3A3C"/>
    <w:rsid w:val="000E3E5D"/>
    <w:rsid w:val="000E46C5"/>
    <w:rsid w:val="000E46CF"/>
    <w:rsid w:val="000E4FD6"/>
    <w:rsid w:val="000E708C"/>
    <w:rsid w:val="000F09BB"/>
    <w:rsid w:val="000F279B"/>
    <w:rsid w:val="000F29E1"/>
    <w:rsid w:val="000F61E2"/>
    <w:rsid w:val="000F697D"/>
    <w:rsid w:val="000F703D"/>
    <w:rsid w:val="000F7ED5"/>
    <w:rsid w:val="0010046E"/>
    <w:rsid w:val="001028FB"/>
    <w:rsid w:val="00102A61"/>
    <w:rsid w:val="001041EB"/>
    <w:rsid w:val="001045B1"/>
    <w:rsid w:val="00104BF1"/>
    <w:rsid w:val="00106F02"/>
    <w:rsid w:val="001078A8"/>
    <w:rsid w:val="00107904"/>
    <w:rsid w:val="00111605"/>
    <w:rsid w:val="00111779"/>
    <w:rsid w:val="001129DE"/>
    <w:rsid w:val="0011369D"/>
    <w:rsid w:val="00113F18"/>
    <w:rsid w:val="00114470"/>
    <w:rsid w:val="00117326"/>
    <w:rsid w:val="00117C85"/>
    <w:rsid w:val="00121C37"/>
    <w:rsid w:val="00122833"/>
    <w:rsid w:val="0012288F"/>
    <w:rsid w:val="00122C6F"/>
    <w:rsid w:val="001257AF"/>
    <w:rsid w:val="0012593C"/>
    <w:rsid w:val="00125C41"/>
    <w:rsid w:val="00126B1A"/>
    <w:rsid w:val="0013179E"/>
    <w:rsid w:val="00131A6C"/>
    <w:rsid w:val="00131E4C"/>
    <w:rsid w:val="00133B59"/>
    <w:rsid w:val="00133B8D"/>
    <w:rsid w:val="001363DF"/>
    <w:rsid w:val="00136716"/>
    <w:rsid w:val="00137465"/>
    <w:rsid w:val="00137E25"/>
    <w:rsid w:val="00137F36"/>
    <w:rsid w:val="001414E2"/>
    <w:rsid w:val="0014269F"/>
    <w:rsid w:val="001434C3"/>
    <w:rsid w:val="001441CB"/>
    <w:rsid w:val="00144615"/>
    <w:rsid w:val="00144CB0"/>
    <w:rsid w:val="00145453"/>
    <w:rsid w:val="0014611F"/>
    <w:rsid w:val="00146861"/>
    <w:rsid w:val="001517E4"/>
    <w:rsid w:val="00151E7C"/>
    <w:rsid w:val="00153387"/>
    <w:rsid w:val="00153B62"/>
    <w:rsid w:val="00153D77"/>
    <w:rsid w:val="00154C55"/>
    <w:rsid w:val="00157C06"/>
    <w:rsid w:val="00161845"/>
    <w:rsid w:val="00162849"/>
    <w:rsid w:val="0016563A"/>
    <w:rsid w:val="00166432"/>
    <w:rsid w:val="00167012"/>
    <w:rsid w:val="001671A8"/>
    <w:rsid w:val="0016761A"/>
    <w:rsid w:val="00167BE2"/>
    <w:rsid w:val="00171417"/>
    <w:rsid w:val="0017238E"/>
    <w:rsid w:val="00177E2C"/>
    <w:rsid w:val="00180992"/>
    <w:rsid w:val="00180FD2"/>
    <w:rsid w:val="00180FD4"/>
    <w:rsid w:val="00181509"/>
    <w:rsid w:val="00181965"/>
    <w:rsid w:val="00185202"/>
    <w:rsid w:val="00186EF3"/>
    <w:rsid w:val="00187B69"/>
    <w:rsid w:val="0019050C"/>
    <w:rsid w:val="00192E8C"/>
    <w:rsid w:val="0019377B"/>
    <w:rsid w:val="0019391D"/>
    <w:rsid w:val="00193F7B"/>
    <w:rsid w:val="00195579"/>
    <w:rsid w:val="001A0839"/>
    <w:rsid w:val="001A33EF"/>
    <w:rsid w:val="001B1D95"/>
    <w:rsid w:val="001B2439"/>
    <w:rsid w:val="001B2EF9"/>
    <w:rsid w:val="001B4AB3"/>
    <w:rsid w:val="001B5250"/>
    <w:rsid w:val="001B5719"/>
    <w:rsid w:val="001B621C"/>
    <w:rsid w:val="001B64D0"/>
    <w:rsid w:val="001B6BD4"/>
    <w:rsid w:val="001B7915"/>
    <w:rsid w:val="001C01EF"/>
    <w:rsid w:val="001C0FE6"/>
    <w:rsid w:val="001C19EB"/>
    <w:rsid w:val="001C1DDC"/>
    <w:rsid w:val="001C43C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864"/>
    <w:rsid w:val="002079DD"/>
    <w:rsid w:val="00210FB6"/>
    <w:rsid w:val="00212DCC"/>
    <w:rsid w:val="002141C1"/>
    <w:rsid w:val="00215A82"/>
    <w:rsid w:val="00216F2A"/>
    <w:rsid w:val="00220914"/>
    <w:rsid w:val="0022191D"/>
    <w:rsid w:val="00221D61"/>
    <w:rsid w:val="00221FB3"/>
    <w:rsid w:val="002224C4"/>
    <w:rsid w:val="00222701"/>
    <w:rsid w:val="00224456"/>
    <w:rsid w:val="00225739"/>
    <w:rsid w:val="00225BEA"/>
    <w:rsid w:val="00225C1C"/>
    <w:rsid w:val="002264FA"/>
    <w:rsid w:val="00230440"/>
    <w:rsid w:val="00230AAB"/>
    <w:rsid w:val="00231A19"/>
    <w:rsid w:val="00232081"/>
    <w:rsid w:val="00232DA1"/>
    <w:rsid w:val="0023468D"/>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6FC"/>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59F"/>
    <w:rsid w:val="00281882"/>
    <w:rsid w:val="00281D99"/>
    <w:rsid w:val="002821B9"/>
    <w:rsid w:val="002833E0"/>
    <w:rsid w:val="00284297"/>
    <w:rsid w:val="0028450D"/>
    <w:rsid w:val="00291EBF"/>
    <w:rsid w:val="00292C25"/>
    <w:rsid w:val="00296D8E"/>
    <w:rsid w:val="002A0772"/>
    <w:rsid w:val="002A276C"/>
    <w:rsid w:val="002A6277"/>
    <w:rsid w:val="002B0601"/>
    <w:rsid w:val="002B0D28"/>
    <w:rsid w:val="002B10C7"/>
    <w:rsid w:val="002B66EF"/>
    <w:rsid w:val="002B6EC9"/>
    <w:rsid w:val="002B7609"/>
    <w:rsid w:val="002C0665"/>
    <w:rsid w:val="002C2C92"/>
    <w:rsid w:val="002C4131"/>
    <w:rsid w:val="002C4749"/>
    <w:rsid w:val="002C49CF"/>
    <w:rsid w:val="002C6317"/>
    <w:rsid w:val="002D0654"/>
    <w:rsid w:val="002D07B9"/>
    <w:rsid w:val="002D0C71"/>
    <w:rsid w:val="002D0F04"/>
    <w:rsid w:val="002D31A6"/>
    <w:rsid w:val="002D4A56"/>
    <w:rsid w:val="002D797A"/>
    <w:rsid w:val="002E0BC4"/>
    <w:rsid w:val="002E184C"/>
    <w:rsid w:val="002E2CAE"/>
    <w:rsid w:val="002E3B0E"/>
    <w:rsid w:val="002E60FC"/>
    <w:rsid w:val="002E6409"/>
    <w:rsid w:val="002F137A"/>
    <w:rsid w:val="002F267D"/>
    <w:rsid w:val="002F3D30"/>
    <w:rsid w:val="002F3F00"/>
    <w:rsid w:val="002F41A4"/>
    <w:rsid w:val="002F48E3"/>
    <w:rsid w:val="002F6BBA"/>
    <w:rsid w:val="002F6DFA"/>
    <w:rsid w:val="002F7C5F"/>
    <w:rsid w:val="0030038F"/>
    <w:rsid w:val="00302D7F"/>
    <w:rsid w:val="00305125"/>
    <w:rsid w:val="003057F0"/>
    <w:rsid w:val="00305811"/>
    <w:rsid w:val="00306442"/>
    <w:rsid w:val="003069FB"/>
    <w:rsid w:val="00312C0C"/>
    <w:rsid w:val="00313AA2"/>
    <w:rsid w:val="003200C9"/>
    <w:rsid w:val="003209C7"/>
    <w:rsid w:val="0032306D"/>
    <w:rsid w:val="00325373"/>
    <w:rsid w:val="00326170"/>
    <w:rsid w:val="003263E9"/>
    <w:rsid w:val="003265BE"/>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847DA"/>
    <w:rsid w:val="00393D9D"/>
    <w:rsid w:val="00393E61"/>
    <w:rsid w:val="00396D02"/>
    <w:rsid w:val="003A0041"/>
    <w:rsid w:val="003A1C3E"/>
    <w:rsid w:val="003A2810"/>
    <w:rsid w:val="003A2970"/>
    <w:rsid w:val="003A496C"/>
    <w:rsid w:val="003A5088"/>
    <w:rsid w:val="003A662B"/>
    <w:rsid w:val="003A7D80"/>
    <w:rsid w:val="003B0B28"/>
    <w:rsid w:val="003B0E46"/>
    <w:rsid w:val="003B14AA"/>
    <w:rsid w:val="003B19C7"/>
    <w:rsid w:val="003B25A5"/>
    <w:rsid w:val="003B3120"/>
    <w:rsid w:val="003B3537"/>
    <w:rsid w:val="003B567E"/>
    <w:rsid w:val="003B5950"/>
    <w:rsid w:val="003B6932"/>
    <w:rsid w:val="003B79EB"/>
    <w:rsid w:val="003B7ED0"/>
    <w:rsid w:val="003C0D91"/>
    <w:rsid w:val="003C3E42"/>
    <w:rsid w:val="003C4A74"/>
    <w:rsid w:val="003C4B05"/>
    <w:rsid w:val="003C578B"/>
    <w:rsid w:val="003C72E2"/>
    <w:rsid w:val="003D07D2"/>
    <w:rsid w:val="003D5B84"/>
    <w:rsid w:val="003D6B19"/>
    <w:rsid w:val="003D79CF"/>
    <w:rsid w:val="003E0207"/>
    <w:rsid w:val="003E0E36"/>
    <w:rsid w:val="003E28BD"/>
    <w:rsid w:val="003E304D"/>
    <w:rsid w:val="003E4AA5"/>
    <w:rsid w:val="003E4DD5"/>
    <w:rsid w:val="003F0964"/>
    <w:rsid w:val="003F18A1"/>
    <w:rsid w:val="003F1D93"/>
    <w:rsid w:val="003F2EB6"/>
    <w:rsid w:val="003F4897"/>
    <w:rsid w:val="003F6587"/>
    <w:rsid w:val="00402C7D"/>
    <w:rsid w:val="00403A74"/>
    <w:rsid w:val="0040458E"/>
    <w:rsid w:val="00407351"/>
    <w:rsid w:val="00407C2D"/>
    <w:rsid w:val="004106DF"/>
    <w:rsid w:val="00411A71"/>
    <w:rsid w:val="00411C0C"/>
    <w:rsid w:val="0041364A"/>
    <w:rsid w:val="0041399A"/>
    <w:rsid w:val="00413B81"/>
    <w:rsid w:val="00414535"/>
    <w:rsid w:val="00414EA0"/>
    <w:rsid w:val="00420D64"/>
    <w:rsid w:val="004248D7"/>
    <w:rsid w:val="00424E85"/>
    <w:rsid w:val="00425BE9"/>
    <w:rsid w:val="00427072"/>
    <w:rsid w:val="004274F7"/>
    <w:rsid w:val="004348E6"/>
    <w:rsid w:val="0043585C"/>
    <w:rsid w:val="00441F35"/>
    <w:rsid w:val="00443205"/>
    <w:rsid w:val="004439D2"/>
    <w:rsid w:val="00445517"/>
    <w:rsid w:val="00445787"/>
    <w:rsid w:val="004503E9"/>
    <w:rsid w:val="00453463"/>
    <w:rsid w:val="00453F49"/>
    <w:rsid w:val="004550E4"/>
    <w:rsid w:val="004637E8"/>
    <w:rsid w:val="00467368"/>
    <w:rsid w:val="004674CD"/>
    <w:rsid w:val="004710EE"/>
    <w:rsid w:val="00472E56"/>
    <w:rsid w:val="004740EC"/>
    <w:rsid w:val="004750E1"/>
    <w:rsid w:val="00477091"/>
    <w:rsid w:val="004819CF"/>
    <w:rsid w:val="00481DA2"/>
    <w:rsid w:val="00482168"/>
    <w:rsid w:val="00482432"/>
    <w:rsid w:val="00483565"/>
    <w:rsid w:val="00483A70"/>
    <w:rsid w:val="00484866"/>
    <w:rsid w:val="004859D6"/>
    <w:rsid w:val="00485FD1"/>
    <w:rsid w:val="0048797E"/>
    <w:rsid w:val="00487DD3"/>
    <w:rsid w:val="004902C8"/>
    <w:rsid w:val="004905D4"/>
    <w:rsid w:val="00492E44"/>
    <w:rsid w:val="00492F25"/>
    <w:rsid w:val="004947B9"/>
    <w:rsid w:val="0049514C"/>
    <w:rsid w:val="00495667"/>
    <w:rsid w:val="004963E0"/>
    <w:rsid w:val="00496DFD"/>
    <w:rsid w:val="004A0AD1"/>
    <w:rsid w:val="004A0C8B"/>
    <w:rsid w:val="004A11B3"/>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607"/>
    <w:rsid w:val="004C3BEB"/>
    <w:rsid w:val="004C59ED"/>
    <w:rsid w:val="004C65D5"/>
    <w:rsid w:val="004D1340"/>
    <w:rsid w:val="004D2A22"/>
    <w:rsid w:val="004D3838"/>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0C32"/>
    <w:rsid w:val="00511236"/>
    <w:rsid w:val="00511539"/>
    <w:rsid w:val="00512128"/>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823"/>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63E2"/>
    <w:rsid w:val="00547658"/>
    <w:rsid w:val="0054768C"/>
    <w:rsid w:val="0055343D"/>
    <w:rsid w:val="00554523"/>
    <w:rsid w:val="0055649A"/>
    <w:rsid w:val="00561BCA"/>
    <w:rsid w:val="0056214B"/>
    <w:rsid w:val="00562E38"/>
    <w:rsid w:val="00563102"/>
    <w:rsid w:val="00572013"/>
    <w:rsid w:val="00573257"/>
    <w:rsid w:val="00573612"/>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DA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0E61"/>
    <w:rsid w:val="005C11D6"/>
    <w:rsid w:val="005C12EA"/>
    <w:rsid w:val="005C1759"/>
    <w:rsid w:val="005C234E"/>
    <w:rsid w:val="005D02EE"/>
    <w:rsid w:val="005D0C1B"/>
    <w:rsid w:val="005D210E"/>
    <w:rsid w:val="005D3D27"/>
    <w:rsid w:val="005D464B"/>
    <w:rsid w:val="005D7D3A"/>
    <w:rsid w:val="005D7EB1"/>
    <w:rsid w:val="005E0889"/>
    <w:rsid w:val="005E50B8"/>
    <w:rsid w:val="005E51F9"/>
    <w:rsid w:val="005E6EF7"/>
    <w:rsid w:val="005E736A"/>
    <w:rsid w:val="005E75FC"/>
    <w:rsid w:val="005F042D"/>
    <w:rsid w:val="005F3D1C"/>
    <w:rsid w:val="005F534C"/>
    <w:rsid w:val="005F67D2"/>
    <w:rsid w:val="005F75F8"/>
    <w:rsid w:val="00603ED6"/>
    <w:rsid w:val="006044C7"/>
    <w:rsid w:val="00605D6F"/>
    <w:rsid w:val="006123B6"/>
    <w:rsid w:val="00613466"/>
    <w:rsid w:val="00613977"/>
    <w:rsid w:val="0061627D"/>
    <w:rsid w:val="00617711"/>
    <w:rsid w:val="006206C7"/>
    <w:rsid w:val="00622EC4"/>
    <w:rsid w:val="00624685"/>
    <w:rsid w:val="0062488B"/>
    <w:rsid w:val="006327F1"/>
    <w:rsid w:val="00636167"/>
    <w:rsid w:val="0064265C"/>
    <w:rsid w:val="00643A60"/>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8F2"/>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73C"/>
    <w:rsid w:val="006A090C"/>
    <w:rsid w:val="006A1384"/>
    <w:rsid w:val="006A3413"/>
    <w:rsid w:val="006A34DA"/>
    <w:rsid w:val="006A5048"/>
    <w:rsid w:val="006A6246"/>
    <w:rsid w:val="006A6AEE"/>
    <w:rsid w:val="006B027E"/>
    <w:rsid w:val="006B0965"/>
    <w:rsid w:val="006B6754"/>
    <w:rsid w:val="006B71FD"/>
    <w:rsid w:val="006C0661"/>
    <w:rsid w:val="006C0E3B"/>
    <w:rsid w:val="006C18AF"/>
    <w:rsid w:val="006C1D12"/>
    <w:rsid w:val="006C5EC9"/>
    <w:rsid w:val="006C7C8B"/>
    <w:rsid w:val="006D033C"/>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70124C"/>
    <w:rsid w:val="007017C6"/>
    <w:rsid w:val="00701DBA"/>
    <w:rsid w:val="007027BB"/>
    <w:rsid w:val="00705140"/>
    <w:rsid w:val="007066C5"/>
    <w:rsid w:val="00710CA7"/>
    <w:rsid w:val="00712FFF"/>
    <w:rsid w:val="007142C8"/>
    <w:rsid w:val="00717A32"/>
    <w:rsid w:val="00720729"/>
    <w:rsid w:val="007212E2"/>
    <w:rsid w:val="00723DEB"/>
    <w:rsid w:val="007240E7"/>
    <w:rsid w:val="00724CE1"/>
    <w:rsid w:val="007277F9"/>
    <w:rsid w:val="00731AEB"/>
    <w:rsid w:val="00731D97"/>
    <w:rsid w:val="00735BBC"/>
    <w:rsid w:val="007372F6"/>
    <w:rsid w:val="00737C36"/>
    <w:rsid w:val="00740C36"/>
    <w:rsid w:val="00741A8F"/>
    <w:rsid w:val="00742008"/>
    <w:rsid w:val="00743BA0"/>
    <w:rsid w:val="007475E8"/>
    <w:rsid w:val="00747DFD"/>
    <w:rsid w:val="00753C3E"/>
    <w:rsid w:val="00754329"/>
    <w:rsid w:val="007547A1"/>
    <w:rsid w:val="00756A93"/>
    <w:rsid w:val="0075769A"/>
    <w:rsid w:val="00764AAB"/>
    <w:rsid w:val="00765DEF"/>
    <w:rsid w:val="00766E46"/>
    <w:rsid w:val="00770E6E"/>
    <w:rsid w:val="00771A7C"/>
    <w:rsid w:val="0077230A"/>
    <w:rsid w:val="00772725"/>
    <w:rsid w:val="00773EB7"/>
    <w:rsid w:val="0077417A"/>
    <w:rsid w:val="007751AA"/>
    <w:rsid w:val="00777AD7"/>
    <w:rsid w:val="00783318"/>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C7E7F"/>
    <w:rsid w:val="007D0AC6"/>
    <w:rsid w:val="007D2077"/>
    <w:rsid w:val="007D4DC3"/>
    <w:rsid w:val="007D60C6"/>
    <w:rsid w:val="007D7A78"/>
    <w:rsid w:val="007E5812"/>
    <w:rsid w:val="007E68A5"/>
    <w:rsid w:val="007E7E25"/>
    <w:rsid w:val="007F1EC7"/>
    <w:rsid w:val="007F286F"/>
    <w:rsid w:val="007F2C82"/>
    <w:rsid w:val="007F36F4"/>
    <w:rsid w:val="007F3EAF"/>
    <w:rsid w:val="007F40B0"/>
    <w:rsid w:val="007F5F38"/>
    <w:rsid w:val="007F665B"/>
    <w:rsid w:val="00803E97"/>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2CE1"/>
    <w:rsid w:val="0082370A"/>
    <w:rsid w:val="00823B38"/>
    <w:rsid w:val="00823F1C"/>
    <w:rsid w:val="00824697"/>
    <w:rsid w:val="008248A4"/>
    <w:rsid w:val="00827A30"/>
    <w:rsid w:val="00827D07"/>
    <w:rsid w:val="008318B8"/>
    <w:rsid w:val="00831DDD"/>
    <w:rsid w:val="00832386"/>
    <w:rsid w:val="008332DA"/>
    <w:rsid w:val="00833E6C"/>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13D0"/>
    <w:rsid w:val="00862CD2"/>
    <w:rsid w:val="00864D83"/>
    <w:rsid w:val="0086508B"/>
    <w:rsid w:val="00866E4F"/>
    <w:rsid w:val="0087156B"/>
    <w:rsid w:val="00872D7E"/>
    <w:rsid w:val="008754E6"/>
    <w:rsid w:val="0087776F"/>
    <w:rsid w:val="00881A1D"/>
    <w:rsid w:val="0088233C"/>
    <w:rsid w:val="0088280A"/>
    <w:rsid w:val="00883EB7"/>
    <w:rsid w:val="00884999"/>
    <w:rsid w:val="0089059D"/>
    <w:rsid w:val="008914D2"/>
    <w:rsid w:val="00892C9F"/>
    <w:rsid w:val="00892FBD"/>
    <w:rsid w:val="00893AD8"/>
    <w:rsid w:val="00893D2C"/>
    <w:rsid w:val="00894D11"/>
    <w:rsid w:val="0089523F"/>
    <w:rsid w:val="008967E5"/>
    <w:rsid w:val="00897BCF"/>
    <w:rsid w:val="008A0709"/>
    <w:rsid w:val="008A07FE"/>
    <w:rsid w:val="008A12AD"/>
    <w:rsid w:val="008A1677"/>
    <w:rsid w:val="008A3243"/>
    <w:rsid w:val="008A5452"/>
    <w:rsid w:val="008A6436"/>
    <w:rsid w:val="008A6E5D"/>
    <w:rsid w:val="008B04B3"/>
    <w:rsid w:val="008B060F"/>
    <w:rsid w:val="008B144F"/>
    <w:rsid w:val="008B1A88"/>
    <w:rsid w:val="008B279B"/>
    <w:rsid w:val="008B3B85"/>
    <w:rsid w:val="008B42E3"/>
    <w:rsid w:val="008B4E8C"/>
    <w:rsid w:val="008B569C"/>
    <w:rsid w:val="008B60B8"/>
    <w:rsid w:val="008B7CA2"/>
    <w:rsid w:val="008C12BE"/>
    <w:rsid w:val="008C1B93"/>
    <w:rsid w:val="008C22C7"/>
    <w:rsid w:val="008C38EB"/>
    <w:rsid w:val="008C414B"/>
    <w:rsid w:val="008C54EA"/>
    <w:rsid w:val="008C6701"/>
    <w:rsid w:val="008C671C"/>
    <w:rsid w:val="008D28A9"/>
    <w:rsid w:val="008D3BDF"/>
    <w:rsid w:val="008D7EA2"/>
    <w:rsid w:val="008E0DAE"/>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3286C"/>
    <w:rsid w:val="009406FF"/>
    <w:rsid w:val="00941203"/>
    <w:rsid w:val="009416C1"/>
    <w:rsid w:val="00942626"/>
    <w:rsid w:val="0094264B"/>
    <w:rsid w:val="0094367D"/>
    <w:rsid w:val="00943FA1"/>
    <w:rsid w:val="00945A5C"/>
    <w:rsid w:val="00945FF2"/>
    <w:rsid w:val="00946389"/>
    <w:rsid w:val="00946F70"/>
    <w:rsid w:val="0094738D"/>
    <w:rsid w:val="00950EF7"/>
    <w:rsid w:val="00954DC1"/>
    <w:rsid w:val="00955462"/>
    <w:rsid w:val="00956EB6"/>
    <w:rsid w:val="00956F83"/>
    <w:rsid w:val="00957C11"/>
    <w:rsid w:val="009617A9"/>
    <w:rsid w:val="009665BE"/>
    <w:rsid w:val="009673AB"/>
    <w:rsid w:val="00970E84"/>
    <w:rsid w:val="00971153"/>
    <w:rsid w:val="009766B2"/>
    <w:rsid w:val="0097774B"/>
    <w:rsid w:val="00981036"/>
    <w:rsid w:val="00981E5F"/>
    <w:rsid w:val="00983846"/>
    <w:rsid w:val="00990BCF"/>
    <w:rsid w:val="00990CC8"/>
    <w:rsid w:val="0099227E"/>
    <w:rsid w:val="009949C5"/>
    <w:rsid w:val="00997C10"/>
    <w:rsid w:val="009A19B2"/>
    <w:rsid w:val="009A32E7"/>
    <w:rsid w:val="009A61F3"/>
    <w:rsid w:val="009B3EC0"/>
    <w:rsid w:val="009B4878"/>
    <w:rsid w:val="009B5FE8"/>
    <w:rsid w:val="009B62B1"/>
    <w:rsid w:val="009B68B8"/>
    <w:rsid w:val="009B76C2"/>
    <w:rsid w:val="009C080D"/>
    <w:rsid w:val="009C142A"/>
    <w:rsid w:val="009C5293"/>
    <w:rsid w:val="009D0F9A"/>
    <w:rsid w:val="009D41DF"/>
    <w:rsid w:val="009D709E"/>
    <w:rsid w:val="009E0249"/>
    <w:rsid w:val="009E055A"/>
    <w:rsid w:val="009E0F0F"/>
    <w:rsid w:val="009E2DB3"/>
    <w:rsid w:val="009E36AC"/>
    <w:rsid w:val="009E3927"/>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31E71"/>
    <w:rsid w:val="00A3312E"/>
    <w:rsid w:val="00A3340E"/>
    <w:rsid w:val="00A3394C"/>
    <w:rsid w:val="00A36716"/>
    <w:rsid w:val="00A42248"/>
    <w:rsid w:val="00A426C8"/>
    <w:rsid w:val="00A42ABF"/>
    <w:rsid w:val="00A4427E"/>
    <w:rsid w:val="00A45398"/>
    <w:rsid w:val="00A45CB3"/>
    <w:rsid w:val="00A466A2"/>
    <w:rsid w:val="00A46733"/>
    <w:rsid w:val="00A46B8E"/>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061"/>
    <w:rsid w:val="00A6214E"/>
    <w:rsid w:val="00A6261F"/>
    <w:rsid w:val="00A662A3"/>
    <w:rsid w:val="00A6661A"/>
    <w:rsid w:val="00A6697F"/>
    <w:rsid w:val="00A70FE7"/>
    <w:rsid w:val="00A71C8A"/>
    <w:rsid w:val="00A71ED6"/>
    <w:rsid w:val="00A73AC5"/>
    <w:rsid w:val="00A760E0"/>
    <w:rsid w:val="00A77E76"/>
    <w:rsid w:val="00A80090"/>
    <w:rsid w:val="00A82646"/>
    <w:rsid w:val="00A83017"/>
    <w:rsid w:val="00A85A64"/>
    <w:rsid w:val="00A92430"/>
    <w:rsid w:val="00A93118"/>
    <w:rsid w:val="00A938CA"/>
    <w:rsid w:val="00A93D4E"/>
    <w:rsid w:val="00A94333"/>
    <w:rsid w:val="00A9461B"/>
    <w:rsid w:val="00A94C5E"/>
    <w:rsid w:val="00A950F7"/>
    <w:rsid w:val="00A97D90"/>
    <w:rsid w:val="00AA3EC5"/>
    <w:rsid w:val="00AA48F5"/>
    <w:rsid w:val="00AA4B39"/>
    <w:rsid w:val="00AA512B"/>
    <w:rsid w:val="00AA59BE"/>
    <w:rsid w:val="00AA608B"/>
    <w:rsid w:val="00AA77C0"/>
    <w:rsid w:val="00AB0FEE"/>
    <w:rsid w:val="00AB1CD7"/>
    <w:rsid w:val="00AB1F5C"/>
    <w:rsid w:val="00AB3317"/>
    <w:rsid w:val="00AB4311"/>
    <w:rsid w:val="00AB49DA"/>
    <w:rsid w:val="00AB59A7"/>
    <w:rsid w:val="00AB68F7"/>
    <w:rsid w:val="00AC06A7"/>
    <w:rsid w:val="00AC077B"/>
    <w:rsid w:val="00AC0C82"/>
    <w:rsid w:val="00AC1F08"/>
    <w:rsid w:val="00AC374E"/>
    <w:rsid w:val="00AC60ED"/>
    <w:rsid w:val="00AC6510"/>
    <w:rsid w:val="00AD2373"/>
    <w:rsid w:val="00AD4734"/>
    <w:rsid w:val="00AD4DF3"/>
    <w:rsid w:val="00AD564C"/>
    <w:rsid w:val="00AD5DF4"/>
    <w:rsid w:val="00AD7639"/>
    <w:rsid w:val="00AE286E"/>
    <w:rsid w:val="00AE3182"/>
    <w:rsid w:val="00AE43A3"/>
    <w:rsid w:val="00AF095A"/>
    <w:rsid w:val="00AF1119"/>
    <w:rsid w:val="00AF59C3"/>
    <w:rsid w:val="00B011BB"/>
    <w:rsid w:val="00B012F2"/>
    <w:rsid w:val="00B0163B"/>
    <w:rsid w:val="00B04312"/>
    <w:rsid w:val="00B0539A"/>
    <w:rsid w:val="00B06669"/>
    <w:rsid w:val="00B06F09"/>
    <w:rsid w:val="00B07DF0"/>
    <w:rsid w:val="00B144BC"/>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27C64"/>
    <w:rsid w:val="00B313EB"/>
    <w:rsid w:val="00B3198A"/>
    <w:rsid w:val="00B33B8B"/>
    <w:rsid w:val="00B34812"/>
    <w:rsid w:val="00B357AE"/>
    <w:rsid w:val="00B37E57"/>
    <w:rsid w:val="00B42FA5"/>
    <w:rsid w:val="00B4561E"/>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6E02"/>
    <w:rsid w:val="00B778A3"/>
    <w:rsid w:val="00B809F3"/>
    <w:rsid w:val="00B85932"/>
    <w:rsid w:val="00B8691A"/>
    <w:rsid w:val="00B87588"/>
    <w:rsid w:val="00B92474"/>
    <w:rsid w:val="00B971E1"/>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60F"/>
    <w:rsid w:val="00BC5738"/>
    <w:rsid w:val="00BC5AA5"/>
    <w:rsid w:val="00BC7CC2"/>
    <w:rsid w:val="00BD049F"/>
    <w:rsid w:val="00BD0E9D"/>
    <w:rsid w:val="00BD218A"/>
    <w:rsid w:val="00BD2B86"/>
    <w:rsid w:val="00BD399A"/>
    <w:rsid w:val="00BD557E"/>
    <w:rsid w:val="00BD5B18"/>
    <w:rsid w:val="00BD5F64"/>
    <w:rsid w:val="00BE0201"/>
    <w:rsid w:val="00BE0361"/>
    <w:rsid w:val="00BE25AC"/>
    <w:rsid w:val="00BE3232"/>
    <w:rsid w:val="00BE520C"/>
    <w:rsid w:val="00BE523C"/>
    <w:rsid w:val="00BE5FD0"/>
    <w:rsid w:val="00BF16AD"/>
    <w:rsid w:val="00BF2C8B"/>
    <w:rsid w:val="00BF34A7"/>
    <w:rsid w:val="00BF3B14"/>
    <w:rsid w:val="00BF5B08"/>
    <w:rsid w:val="00BF6218"/>
    <w:rsid w:val="00BF6566"/>
    <w:rsid w:val="00C00EA2"/>
    <w:rsid w:val="00C011EE"/>
    <w:rsid w:val="00C02535"/>
    <w:rsid w:val="00C0352A"/>
    <w:rsid w:val="00C0425B"/>
    <w:rsid w:val="00C042CB"/>
    <w:rsid w:val="00C0439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471AC"/>
    <w:rsid w:val="00C50166"/>
    <w:rsid w:val="00C502FF"/>
    <w:rsid w:val="00C545DA"/>
    <w:rsid w:val="00C55BED"/>
    <w:rsid w:val="00C55D03"/>
    <w:rsid w:val="00C55F3E"/>
    <w:rsid w:val="00C57311"/>
    <w:rsid w:val="00C60540"/>
    <w:rsid w:val="00C61929"/>
    <w:rsid w:val="00C62E71"/>
    <w:rsid w:val="00C63059"/>
    <w:rsid w:val="00C631FE"/>
    <w:rsid w:val="00C63C08"/>
    <w:rsid w:val="00C66CCC"/>
    <w:rsid w:val="00C676A4"/>
    <w:rsid w:val="00C67EA4"/>
    <w:rsid w:val="00C700B6"/>
    <w:rsid w:val="00C709EA"/>
    <w:rsid w:val="00C7182A"/>
    <w:rsid w:val="00C723B3"/>
    <w:rsid w:val="00C72659"/>
    <w:rsid w:val="00C734AC"/>
    <w:rsid w:val="00C73BD7"/>
    <w:rsid w:val="00C80CAC"/>
    <w:rsid w:val="00C81C9C"/>
    <w:rsid w:val="00C8516B"/>
    <w:rsid w:val="00C854C1"/>
    <w:rsid w:val="00C85B81"/>
    <w:rsid w:val="00C90806"/>
    <w:rsid w:val="00C9178F"/>
    <w:rsid w:val="00C93F76"/>
    <w:rsid w:val="00C9655A"/>
    <w:rsid w:val="00C96610"/>
    <w:rsid w:val="00C96FCA"/>
    <w:rsid w:val="00C9754D"/>
    <w:rsid w:val="00C975DF"/>
    <w:rsid w:val="00CA3FA7"/>
    <w:rsid w:val="00CA5D84"/>
    <w:rsid w:val="00CC1960"/>
    <w:rsid w:val="00CC5C72"/>
    <w:rsid w:val="00CD4F70"/>
    <w:rsid w:val="00CE05C5"/>
    <w:rsid w:val="00CE1CF3"/>
    <w:rsid w:val="00CE1E9B"/>
    <w:rsid w:val="00CE4BC0"/>
    <w:rsid w:val="00CE59F4"/>
    <w:rsid w:val="00CE70F3"/>
    <w:rsid w:val="00CE7659"/>
    <w:rsid w:val="00CF0E18"/>
    <w:rsid w:val="00CF29A4"/>
    <w:rsid w:val="00CF2F2E"/>
    <w:rsid w:val="00CF4D01"/>
    <w:rsid w:val="00CF624D"/>
    <w:rsid w:val="00CF6E34"/>
    <w:rsid w:val="00CF7F4F"/>
    <w:rsid w:val="00D00944"/>
    <w:rsid w:val="00D0495F"/>
    <w:rsid w:val="00D0506E"/>
    <w:rsid w:val="00D060CE"/>
    <w:rsid w:val="00D066D9"/>
    <w:rsid w:val="00D076EF"/>
    <w:rsid w:val="00D07778"/>
    <w:rsid w:val="00D108C5"/>
    <w:rsid w:val="00D10D7A"/>
    <w:rsid w:val="00D1187F"/>
    <w:rsid w:val="00D11C2D"/>
    <w:rsid w:val="00D1618D"/>
    <w:rsid w:val="00D167B1"/>
    <w:rsid w:val="00D16D1B"/>
    <w:rsid w:val="00D17001"/>
    <w:rsid w:val="00D21F66"/>
    <w:rsid w:val="00D227AD"/>
    <w:rsid w:val="00D22A05"/>
    <w:rsid w:val="00D238C2"/>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5C57"/>
    <w:rsid w:val="00D570F3"/>
    <w:rsid w:val="00D61C85"/>
    <w:rsid w:val="00D61E7A"/>
    <w:rsid w:val="00D624E5"/>
    <w:rsid w:val="00D634A8"/>
    <w:rsid w:val="00D64C3D"/>
    <w:rsid w:val="00D6584C"/>
    <w:rsid w:val="00D65A1C"/>
    <w:rsid w:val="00D67099"/>
    <w:rsid w:val="00D67AE5"/>
    <w:rsid w:val="00D71939"/>
    <w:rsid w:val="00D72D27"/>
    <w:rsid w:val="00D73317"/>
    <w:rsid w:val="00D742B9"/>
    <w:rsid w:val="00D743C8"/>
    <w:rsid w:val="00D743DA"/>
    <w:rsid w:val="00D744B5"/>
    <w:rsid w:val="00D745B1"/>
    <w:rsid w:val="00D74C5F"/>
    <w:rsid w:val="00D753F3"/>
    <w:rsid w:val="00D772DC"/>
    <w:rsid w:val="00D875FF"/>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D7DC6"/>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01825"/>
    <w:rsid w:val="00E11F8A"/>
    <w:rsid w:val="00E12071"/>
    <w:rsid w:val="00E12660"/>
    <w:rsid w:val="00E12838"/>
    <w:rsid w:val="00E14FF6"/>
    <w:rsid w:val="00E15BBF"/>
    <w:rsid w:val="00E15ECD"/>
    <w:rsid w:val="00E230D8"/>
    <w:rsid w:val="00E239E2"/>
    <w:rsid w:val="00E23F00"/>
    <w:rsid w:val="00E24DA7"/>
    <w:rsid w:val="00E2599A"/>
    <w:rsid w:val="00E26A0F"/>
    <w:rsid w:val="00E305A0"/>
    <w:rsid w:val="00E318D4"/>
    <w:rsid w:val="00E339EE"/>
    <w:rsid w:val="00E3557A"/>
    <w:rsid w:val="00E361C3"/>
    <w:rsid w:val="00E4014C"/>
    <w:rsid w:val="00E401FC"/>
    <w:rsid w:val="00E42D1B"/>
    <w:rsid w:val="00E4558E"/>
    <w:rsid w:val="00E4606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906"/>
    <w:rsid w:val="00E67E51"/>
    <w:rsid w:val="00E76BE0"/>
    <w:rsid w:val="00E7790B"/>
    <w:rsid w:val="00E77E1F"/>
    <w:rsid w:val="00E81662"/>
    <w:rsid w:val="00E81714"/>
    <w:rsid w:val="00E91546"/>
    <w:rsid w:val="00E91678"/>
    <w:rsid w:val="00E9206E"/>
    <w:rsid w:val="00E93438"/>
    <w:rsid w:val="00E93F64"/>
    <w:rsid w:val="00E94443"/>
    <w:rsid w:val="00E96092"/>
    <w:rsid w:val="00E96737"/>
    <w:rsid w:val="00E96B5C"/>
    <w:rsid w:val="00EA0668"/>
    <w:rsid w:val="00EA127F"/>
    <w:rsid w:val="00EA18BF"/>
    <w:rsid w:val="00EA1A75"/>
    <w:rsid w:val="00EA1F53"/>
    <w:rsid w:val="00EA2C41"/>
    <w:rsid w:val="00EA4376"/>
    <w:rsid w:val="00EA70DC"/>
    <w:rsid w:val="00EB01FF"/>
    <w:rsid w:val="00EB06C6"/>
    <w:rsid w:val="00EB1B47"/>
    <w:rsid w:val="00EB46E1"/>
    <w:rsid w:val="00EB7BD6"/>
    <w:rsid w:val="00EC0A02"/>
    <w:rsid w:val="00EC20FD"/>
    <w:rsid w:val="00EC22C6"/>
    <w:rsid w:val="00EC2EF8"/>
    <w:rsid w:val="00EC3DAC"/>
    <w:rsid w:val="00EC42FF"/>
    <w:rsid w:val="00EC5A73"/>
    <w:rsid w:val="00EC5CF8"/>
    <w:rsid w:val="00EC5F9B"/>
    <w:rsid w:val="00EC7999"/>
    <w:rsid w:val="00ED3490"/>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56E9"/>
    <w:rsid w:val="00F277D3"/>
    <w:rsid w:val="00F30997"/>
    <w:rsid w:val="00F32896"/>
    <w:rsid w:val="00F33C08"/>
    <w:rsid w:val="00F35ADB"/>
    <w:rsid w:val="00F374B7"/>
    <w:rsid w:val="00F41AE7"/>
    <w:rsid w:val="00F41F44"/>
    <w:rsid w:val="00F42D17"/>
    <w:rsid w:val="00F457A0"/>
    <w:rsid w:val="00F46492"/>
    <w:rsid w:val="00F477B5"/>
    <w:rsid w:val="00F47B01"/>
    <w:rsid w:val="00F5057E"/>
    <w:rsid w:val="00F509EF"/>
    <w:rsid w:val="00F53410"/>
    <w:rsid w:val="00F541F8"/>
    <w:rsid w:val="00F5470A"/>
    <w:rsid w:val="00F551E6"/>
    <w:rsid w:val="00F5563D"/>
    <w:rsid w:val="00F56891"/>
    <w:rsid w:val="00F64CD4"/>
    <w:rsid w:val="00F64F37"/>
    <w:rsid w:val="00F65AB2"/>
    <w:rsid w:val="00F72AAB"/>
    <w:rsid w:val="00F73E78"/>
    <w:rsid w:val="00F740C2"/>
    <w:rsid w:val="00F7591E"/>
    <w:rsid w:val="00F75EF9"/>
    <w:rsid w:val="00F77898"/>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0E7B"/>
    <w:rsid w:val="00FA35FB"/>
    <w:rsid w:val="00FA5742"/>
    <w:rsid w:val="00FA597D"/>
    <w:rsid w:val="00FA5B9A"/>
    <w:rsid w:val="00FA6CE4"/>
    <w:rsid w:val="00FB01B9"/>
    <w:rsid w:val="00FB763A"/>
    <w:rsid w:val="00FB79C0"/>
    <w:rsid w:val="00FC212B"/>
    <w:rsid w:val="00FC2EB8"/>
    <w:rsid w:val="00FC5C43"/>
    <w:rsid w:val="00FD1598"/>
    <w:rsid w:val="00FD3E46"/>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68E8"/>
  <w15:docId w15:val="{0C4268E5-58A4-43B1-A28C-4C1A587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uiPriority w:val="99"/>
    <w:rsid w:val="004D3838"/>
  </w:style>
  <w:style w:type="paragraph" w:customStyle="1" w:styleId="intro">
    <w:name w:val="intro"/>
    <w:basedOn w:val="Normal"/>
    <w:rsid w:val="00942626"/>
    <w:pPr>
      <w:spacing w:before="100" w:beforeAutospacing="1" w:after="100" w:afterAutospacing="1"/>
    </w:pPr>
    <w:rPr>
      <w:sz w:val="24"/>
      <w:szCs w:val="24"/>
      <w:lang w:val="en-AU" w:eastAsia="en-AU"/>
    </w:rPr>
  </w:style>
  <w:style w:type="character" w:customStyle="1" w:styleId="FooterChar">
    <w:name w:val="Footer Char"/>
    <w:basedOn w:val="DefaultParagraphFont"/>
    <w:link w:val="Footer"/>
    <w:uiPriority w:val="99"/>
    <w:rsid w:val="004C3607"/>
  </w:style>
  <w:style w:type="paragraph" w:customStyle="1" w:styleId="02bJKIArticleTitleabsract">
    <w:name w:val="02b. JKI_Article Title (absract)"/>
    <w:basedOn w:val="Normal"/>
    <w:link w:val="02bJKIArticleTitleabsractChar"/>
    <w:qFormat/>
    <w:rsid w:val="00BF5B08"/>
    <w:pPr>
      <w:pBdr>
        <w:top w:val="nil"/>
        <w:left w:val="nil"/>
        <w:bottom w:val="nil"/>
        <w:right w:val="nil"/>
        <w:between w:val="nil"/>
      </w:pBdr>
      <w:ind w:right="2"/>
      <w:jc w:val="both"/>
    </w:pPr>
    <w:rPr>
      <w:b/>
      <w:color w:val="000000"/>
      <w:lang w:eastAsia="en-PH"/>
    </w:rPr>
  </w:style>
  <w:style w:type="character" w:customStyle="1" w:styleId="02bJKIArticleTitleabsractChar">
    <w:name w:val="02b. JKI_Article Title (absract) Char"/>
    <w:basedOn w:val="DefaultParagraphFont"/>
    <w:link w:val="02bJKIArticleTitleabsract"/>
    <w:rsid w:val="00BF5B08"/>
    <w:rPr>
      <w:b/>
      <w:color w:val="000000"/>
      <w:lang w:eastAsia="en-PH"/>
    </w:rPr>
  </w:style>
  <w:style w:type="paragraph" w:customStyle="1" w:styleId="text-indent">
    <w:name w:val="text-indent"/>
    <w:basedOn w:val="Normal"/>
    <w:rsid w:val="00BF5B08"/>
    <w:pPr>
      <w:spacing w:after="240" w:line="343" w:lineRule="atLeast"/>
      <w:jc w:val="both"/>
    </w:pPr>
    <w:rPr>
      <w:sz w:val="24"/>
      <w:szCs w:val="24"/>
    </w:rPr>
  </w:style>
  <w:style w:type="paragraph" w:customStyle="1" w:styleId="Pa0">
    <w:name w:val="Pa0"/>
    <w:basedOn w:val="Normal"/>
    <w:next w:val="Normal"/>
    <w:uiPriority w:val="99"/>
    <w:rsid w:val="00510C32"/>
    <w:pPr>
      <w:autoSpaceDE w:val="0"/>
      <w:autoSpaceDN w:val="0"/>
      <w:adjustRightInd w:val="0"/>
      <w:spacing w:line="241" w:lineRule="atLeast"/>
    </w:pPr>
    <w:rPr>
      <w:rFonts w:eastAsia="Calibri"/>
      <w:sz w:val="24"/>
      <w:szCs w:val="24"/>
    </w:rPr>
  </w:style>
  <w:style w:type="paragraph" w:customStyle="1" w:styleId="Pa8">
    <w:name w:val="Pa8"/>
    <w:basedOn w:val="Normal"/>
    <w:next w:val="Normal"/>
    <w:uiPriority w:val="99"/>
    <w:rsid w:val="00510C32"/>
    <w:pPr>
      <w:autoSpaceDE w:val="0"/>
      <w:autoSpaceDN w:val="0"/>
      <w:adjustRightInd w:val="0"/>
      <w:spacing w:line="221" w:lineRule="atLeast"/>
    </w:pPr>
    <w:rPr>
      <w:rFonts w:eastAsia="Calibri"/>
      <w:sz w:val="24"/>
      <w:szCs w:val="24"/>
    </w:rPr>
  </w:style>
  <w:style w:type="paragraph" w:styleId="Bibliography">
    <w:name w:val="Bibliography"/>
    <w:basedOn w:val="Normal"/>
    <w:next w:val="Normal"/>
    <w:uiPriority w:val="37"/>
    <w:unhideWhenUsed/>
    <w:rsid w:val="0040458E"/>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59822104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177082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6247337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svg"/><Relationship Id="rId26" Type="http://schemas.openxmlformats.org/officeDocument/2006/relationships/image" Target="media/image9.jpeg"/><Relationship Id="rId39" Type="http://schemas.openxmlformats.org/officeDocument/2006/relationships/header" Target="header3.xml"/><Relationship Id="rId21" Type="http://schemas.openxmlformats.org/officeDocument/2006/relationships/hyperlink" Target="mailto:ijhs@sciencescholar.us" TargetMode="External"/><Relationship Id="rId34" Type="http://schemas.openxmlformats.org/officeDocument/2006/relationships/hyperlink" Target="mailto:ijhs@sciencescholar.u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pus.com/authid/detail.uri?authorId=55762239000" TargetMode="External"/><Relationship Id="rId20" Type="http://schemas.openxmlformats.org/officeDocument/2006/relationships/image" Target="media/image6.png"/><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aureenlorencevillarino@gmail.com" TargetMode="External"/><Relationship Id="rId32" Type="http://schemas.openxmlformats.org/officeDocument/2006/relationships/hyperlink" Target="mailto:michel.plaisent@uqam.edu.c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mailto:ijhs@sciencescholar.us" TargetMode="External"/><Relationship Id="rId36" Type="http://schemas.openxmlformats.org/officeDocument/2006/relationships/header" Target="header2.xml"/><Relationship Id="rId10" Type="http://schemas.openxmlformats.org/officeDocument/2006/relationships/hyperlink" Target="mailto:restitito.villarino@ctu.edu.ph" TargetMode="External"/><Relationship Id="rId19" Type="http://schemas.openxmlformats.org/officeDocument/2006/relationships/hyperlink" Target="https://publons.com/researcher/1836786/yu-tzu-wu/"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holar.google.com/citations?user=lBUmf9EAAAAJ&amp;hl=zh-TW" TargetMode="External"/><Relationship Id="rId22" Type="http://schemas.openxmlformats.org/officeDocument/2006/relationships/image" Target="media/image7.jpeg"/><Relationship Id="rId27" Type="http://schemas.openxmlformats.org/officeDocument/2006/relationships/hyperlink" Target="mailto:mariaconcepcion.temblor@ctu.edu.ph" TargetMode="External"/><Relationship Id="rId30" Type="http://schemas.openxmlformats.org/officeDocument/2006/relationships/hyperlink" Target="mailto:ijhs@sciencescholar.us" TargetMode="External"/><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hyperlink" Target="https://orcid.org/0000-0002-0874-4448" TargetMode="External"/><Relationship Id="rId17" Type="http://schemas.openxmlformats.org/officeDocument/2006/relationships/image" Target="media/image5.png"/><Relationship Id="rId25" Type="http://schemas.openxmlformats.org/officeDocument/2006/relationships/hyperlink" Target="mailto:ijhs@sciencescholar.us" TargetMode="External"/><Relationship Id="rId33" Type="http://schemas.openxmlformats.org/officeDocument/2006/relationships/hyperlink" Target="mailto:ijhs@sciencescholar.u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2010-327E-4A8B-ACD2-4D6638DF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17608</Words>
  <Characters>100369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International Journal of Public Health Science (IJPHS)</vt:lpstr>
    </vt:vector>
  </TitlesOfParts>
  <Company>IAES | Institute of Advanced Engineering and Science</Company>
  <LinksUpToDate>false</LinksUpToDate>
  <CharactersWithSpaces>117742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Public Health Science (IJPHS)</dc:title>
  <dc:creator>IJPHS</dc:creator>
  <cp:keywords>adolescent health; behavioral medicine; biostatistics; chronic diseases; environmental health; epidemiology; evaluation &amp; intervention; family health; gerontology, child health; health economics; health promotion; health services research; infectious diseases; nutrition occupational health; public health policy &amp; management; rural health;</cp:keywords>
  <dc:description>IJPHS Template and Guide of Authors</dc:description>
  <cp:lastModifiedBy>User</cp:lastModifiedBy>
  <cp:revision>2</cp:revision>
  <cp:lastPrinted>2021-08-05T08:35:00Z</cp:lastPrinted>
  <dcterms:created xsi:type="dcterms:W3CDTF">2023-01-11T05:52:00Z</dcterms:created>
  <dcterms:modified xsi:type="dcterms:W3CDTF">2023-01-11T05:52:00Z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id="Ug2rUVUx"/&gt;&lt;style id="http://www.zotero.org/styles/ieee"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