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9C21CF" w14:textId="47197A14" w:rsidR="00904D6D" w:rsidRPr="003D5B84" w:rsidRDefault="00B16489" w:rsidP="00B16489">
      <w:pPr>
        <w:jc w:val="center"/>
        <w:rPr>
          <w:b/>
          <w:bCs/>
        </w:rPr>
      </w:pPr>
      <w:r w:rsidRPr="00B16489">
        <w:rPr>
          <w:b/>
          <w:bCs/>
          <w:sz w:val="32"/>
          <w:szCs w:val="32"/>
          <w:lang w:val="en-ID"/>
        </w:rPr>
        <w:t xml:space="preserve">Relationship of Confidence, Perception of Barriers, and Spouse Support with Providing Reproductive Health </w:t>
      </w:r>
      <w:r>
        <w:rPr>
          <w:b/>
          <w:bCs/>
          <w:sz w:val="32"/>
          <w:szCs w:val="32"/>
          <w:lang w:val="en-ID"/>
        </w:rPr>
        <w:t xml:space="preserve">and Sexuality </w:t>
      </w:r>
      <w:r w:rsidRPr="00B16489">
        <w:rPr>
          <w:b/>
          <w:bCs/>
          <w:sz w:val="32"/>
          <w:szCs w:val="32"/>
          <w:lang w:val="en-ID"/>
        </w:rPr>
        <w:t>Information from Parents to Adolescents</w:t>
      </w:r>
    </w:p>
    <w:p w14:paraId="51C9BE11" w14:textId="77777777" w:rsidR="00250A66" w:rsidRPr="003D5B84" w:rsidRDefault="00250A66" w:rsidP="00904D6D">
      <w:pPr>
        <w:jc w:val="center"/>
        <w:rPr>
          <w:b/>
          <w:bCs/>
        </w:rPr>
      </w:pPr>
    </w:p>
    <w:p w14:paraId="438D7109" w14:textId="2091345B" w:rsidR="00904D6D" w:rsidRPr="00D74C5F" w:rsidRDefault="00F21A50" w:rsidP="00904D6D">
      <w:pPr>
        <w:jc w:val="center"/>
        <w:rPr>
          <w:b/>
          <w:bCs/>
        </w:rPr>
      </w:pPr>
      <w:proofErr w:type="spellStart"/>
      <w:r>
        <w:rPr>
          <w:b/>
          <w:bCs/>
          <w:lang w:val="en-ID"/>
        </w:rPr>
        <w:t>Tanjung</w:t>
      </w:r>
      <w:proofErr w:type="spellEnd"/>
      <w:r>
        <w:rPr>
          <w:b/>
          <w:bCs/>
          <w:lang w:val="en-ID"/>
        </w:rPr>
        <w:t xml:space="preserve"> </w:t>
      </w:r>
      <w:proofErr w:type="spellStart"/>
      <w:r>
        <w:rPr>
          <w:b/>
          <w:bCs/>
          <w:lang w:val="en-ID"/>
        </w:rPr>
        <w:t>Anitasari</w:t>
      </w:r>
      <w:proofErr w:type="spellEnd"/>
      <w:r>
        <w:rPr>
          <w:b/>
          <w:bCs/>
          <w:lang w:val="en-ID"/>
        </w:rPr>
        <w:t xml:space="preserve"> Indah </w:t>
      </w:r>
      <w:proofErr w:type="spellStart"/>
      <w:r>
        <w:rPr>
          <w:b/>
          <w:bCs/>
          <w:lang w:val="en-ID"/>
        </w:rPr>
        <w:t>Kusumaningrum</w:t>
      </w:r>
      <w:proofErr w:type="spellEnd"/>
      <w:r w:rsidR="00530415" w:rsidRPr="00530415">
        <w:rPr>
          <w:b/>
          <w:bCs/>
          <w:vertAlign w:val="superscript"/>
        </w:rPr>
        <w:t>1</w:t>
      </w:r>
      <w:r w:rsidR="00E12660" w:rsidRPr="003D5B84">
        <w:rPr>
          <w:b/>
          <w:bCs/>
          <w:lang w:val="id-ID"/>
        </w:rPr>
        <w:t xml:space="preserve">, </w:t>
      </w:r>
      <w:proofErr w:type="spellStart"/>
      <w:r>
        <w:rPr>
          <w:b/>
          <w:bCs/>
          <w:lang w:val="en-ID"/>
        </w:rPr>
        <w:t>Diah</w:t>
      </w:r>
      <w:proofErr w:type="spellEnd"/>
      <w:r>
        <w:rPr>
          <w:b/>
          <w:bCs/>
          <w:lang w:val="en-ID"/>
        </w:rPr>
        <w:t xml:space="preserve"> </w:t>
      </w:r>
      <w:proofErr w:type="spellStart"/>
      <w:r>
        <w:rPr>
          <w:b/>
          <w:bCs/>
          <w:lang w:val="en-ID"/>
        </w:rPr>
        <w:t>Laras</w:t>
      </w:r>
      <w:proofErr w:type="spellEnd"/>
      <w:r>
        <w:rPr>
          <w:b/>
          <w:bCs/>
          <w:lang w:val="en-ID"/>
        </w:rPr>
        <w:t xml:space="preserve"> </w:t>
      </w:r>
      <w:proofErr w:type="spellStart"/>
      <w:r>
        <w:rPr>
          <w:b/>
          <w:bCs/>
          <w:lang w:val="en-ID"/>
        </w:rPr>
        <w:t>Suci</w:t>
      </w:r>
      <w:proofErr w:type="spellEnd"/>
      <w:r w:rsidR="00530415" w:rsidRPr="00530415">
        <w:rPr>
          <w:b/>
          <w:bCs/>
          <w:vertAlign w:val="superscript"/>
        </w:rPr>
        <w:t>2</w:t>
      </w:r>
      <w:r w:rsidR="00E12660" w:rsidRPr="003D5B84">
        <w:rPr>
          <w:b/>
          <w:bCs/>
          <w:lang w:val="id-ID"/>
        </w:rPr>
        <w:t xml:space="preserve">, </w:t>
      </w:r>
      <w:r>
        <w:rPr>
          <w:b/>
          <w:bCs/>
          <w:lang w:val="en-ID"/>
        </w:rPr>
        <w:t xml:space="preserve">Dini </w:t>
      </w:r>
      <w:proofErr w:type="spellStart"/>
      <w:r>
        <w:rPr>
          <w:b/>
          <w:bCs/>
          <w:lang w:val="en-ID"/>
        </w:rPr>
        <w:t>Wulandari</w:t>
      </w:r>
      <w:proofErr w:type="spellEnd"/>
      <w:r w:rsidR="00530415" w:rsidRPr="00530415">
        <w:rPr>
          <w:b/>
          <w:bCs/>
          <w:vertAlign w:val="superscript"/>
        </w:rPr>
        <w:t>3</w:t>
      </w:r>
      <w:r w:rsidR="00D74C5F">
        <w:rPr>
          <w:b/>
          <w:bCs/>
        </w:rPr>
        <w:t xml:space="preserve"> </w:t>
      </w:r>
    </w:p>
    <w:p w14:paraId="24363E76" w14:textId="3DF78DCB" w:rsidR="00A17296" w:rsidRDefault="00530415" w:rsidP="00E2599A">
      <w:pPr>
        <w:jc w:val="center"/>
        <w:rPr>
          <w:sz w:val="18"/>
          <w:szCs w:val="18"/>
        </w:rPr>
      </w:pPr>
      <w:r w:rsidRPr="00530415">
        <w:rPr>
          <w:sz w:val="18"/>
          <w:szCs w:val="18"/>
          <w:vertAlign w:val="superscript"/>
        </w:rPr>
        <w:t>1,</w:t>
      </w:r>
      <w:r w:rsidR="00F21A50">
        <w:rPr>
          <w:sz w:val="18"/>
          <w:szCs w:val="18"/>
          <w:vertAlign w:val="superscript"/>
        </w:rPr>
        <w:t>2,</w:t>
      </w:r>
      <w:r>
        <w:rPr>
          <w:sz w:val="18"/>
          <w:szCs w:val="18"/>
          <w:vertAlign w:val="superscript"/>
        </w:rPr>
        <w:t>3</w:t>
      </w:r>
      <w:r w:rsidR="0085352C">
        <w:rPr>
          <w:sz w:val="18"/>
          <w:szCs w:val="18"/>
        </w:rPr>
        <w:t>Depart</w:t>
      </w:r>
      <w:r w:rsidR="00E2599A" w:rsidRPr="00E2599A">
        <w:rPr>
          <w:sz w:val="18"/>
          <w:szCs w:val="18"/>
        </w:rPr>
        <w:t xml:space="preserve">ment of </w:t>
      </w:r>
      <w:r w:rsidR="00F21A50">
        <w:rPr>
          <w:sz w:val="18"/>
          <w:szCs w:val="18"/>
        </w:rPr>
        <w:t>Public Health</w:t>
      </w:r>
      <w:r w:rsidR="00E2599A" w:rsidRPr="00E2599A">
        <w:rPr>
          <w:sz w:val="18"/>
          <w:szCs w:val="18"/>
        </w:rPr>
        <w:t>,</w:t>
      </w:r>
      <w:r w:rsidR="00E2599A">
        <w:rPr>
          <w:sz w:val="18"/>
          <w:szCs w:val="18"/>
        </w:rPr>
        <w:t xml:space="preserve"> </w:t>
      </w:r>
      <w:r w:rsidR="00F21A50">
        <w:rPr>
          <w:sz w:val="18"/>
          <w:szCs w:val="18"/>
        </w:rPr>
        <w:t>Faculty of Health Science, Universitas Muhammadiyah Surakarta</w:t>
      </w:r>
      <w:r>
        <w:rPr>
          <w:sz w:val="18"/>
          <w:szCs w:val="18"/>
        </w:rPr>
        <w:t xml:space="preserve">, </w:t>
      </w:r>
      <w:r w:rsidR="00F21A50">
        <w:rPr>
          <w:sz w:val="18"/>
          <w:szCs w:val="18"/>
        </w:rPr>
        <w:t>Indonesia</w:t>
      </w:r>
      <w:r w:rsidR="00E2599A">
        <w:rPr>
          <w:sz w:val="18"/>
          <w:szCs w:val="18"/>
        </w:rPr>
        <w:t xml:space="preserve"> </w:t>
      </w:r>
    </w:p>
    <w:p w14:paraId="38987544" w14:textId="77777777" w:rsidR="00904D6D" w:rsidRDefault="00904D6D" w:rsidP="0088233C">
      <w:pPr>
        <w:jc w:val="center"/>
      </w:pPr>
    </w:p>
    <w:p w14:paraId="4BD777B0" w14:textId="77777777" w:rsidR="00C07BEF" w:rsidRDefault="00C07BEF" w:rsidP="0088233C">
      <w:pPr>
        <w:jc w:val="center"/>
      </w:pPr>
    </w:p>
    <w:tbl>
      <w:tblPr>
        <w:tblStyle w:val="TableGrid"/>
        <w:tblW w:w="8897" w:type="dxa"/>
        <w:tblLook w:val="04A0" w:firstRow="1" w:lastRow="0" w:firstColumn="1" w:lastColumn="0" w:noHBand="0" w:noVBand="1"/>
      </w:tblPr>
      <w:tblGrid>
        <w:gridCol w:w="2802"/>
        <w:gridCol w:w="283"/>
        <w:gridCol w:w="5812"/>
      </w:tblGrid>
      <w:tr w:rsidR="006B027E" w14:paraId="26D33765" w14:textId="77777777" w:rsidTr="00C07BEF">
        <w:tc>
          <w:tcPr>
            <w:tcW w:w="2802" w:type="dxa"/>
            <w:tcBorders>
              <w:top w:val="double" w:sz="4" w:space="0" w:color="auto"/>
              <w:left w:val="nil"/>
              <w:bottom w:val="single" w:sz="4" w:space="0" w:color="auto"/>
              <w:right w:val="nil"/>
            </w:tcBorders>
          </w:tcPr>
          <w:p w14:paraId="24176771" w14:textId="77777777" w:rsidR="00957C11" w:rsidRPr="00957C11" w:rsidRDefault="00957C11" w:rsidP="00957C11">
            <w:pPr>
              <w:spacing w:before="120"/>
              <w:jc w:val="both"/>
              <w:rPr>
                <w:b/>
              </w:rPr>
            </w:pPr>
            <w:r w:rsidRPr="00957C11">
              <w:rPr>
                <w:b/>
              </w:rPr>
              <w:t>Article Info</w:t>
            </w:r>
          </w:p>
        </w:tc>
        <w:tc>
          <w:tcPr>
            <w:tcW w:w="283" w:type="dxa"/>
            <w:tcBorders>
              <w:top w:val="double" w:sz="4" w:space="0" w:color="auto"/>
              <w:left w:val="nil"/>
              <w:bottom w:val="nil"/>
              <w:right w:val="nil"/>
            </w:tcBorders>
          </w:tcPr>
          <w:p w14:paraId="30E81EFC" w14:textId="77777777" w:rsidR="00957C11" w:rsidRDefault="00957C11" w:rsidP="00957C11">
            <w:pPr>
              <w:spacing w:before="120"/>
              <w:jc w:val="center"/>
            </w:pPr>
          </w:p>
        </w:tc>
        <w:tc>
          <w:tcPr>
            <w:tcW w:w="5812" w:type="dxa"/>
            <w:tcBorders>
              <w:top w:val="double" w:sz="4" w:space="0" w:color="auto"/>
              <w:left w:val="nil"/>
              <w:bottom w:val="single" w:sz="4" w:space="0" w:color="auto"/>
              <w:right w:val="nil"/>
            </w:tcBorders>
          </w:tcPr>
          <w:p w14:paraId="53F98795" w14:textId="7FC4DA4C" w:rsidR="00957C11" w:rsidRPr="00957C11" w:rsidRDefault="00957C11" w:rsidP="00957C11">
            <w:pPr>
              <w:spacing w:before="120"/>
              <w:rPr>
                <w:color w:val="000000"/>
                <w:sz w:val="24"/>
                <w:szCs w:val="24"/>
              </w:rPr>
            </w:pPr>
            <w:r w:rsidRPr="00957C11">
              <w:rPr>
                <w:b/>
                <w:bCs/>
                <w:iCs/>
                <w:color w:val="000000"/>
              </w:rPr>
              <w:t xml:space="preserve">ABSTRACT </w:t>
            </w:r>
          </w:p>
        </w:tc>
      </w:tr>
      <w:tr w:rsidR="00941203" w14:paraId="6E249F0B" w14:textId="77777777" w:rsidTr="00C07BEF">
        <w:trPr>
          <w:trHeight w:val="1268"/>
        </w:trPr>
        <w:tc>
          <w:tcPr>
            <w:tcW w:w="2802" w:type="dxa"/>
            <w:tcBorders>
              <w:top w:val="single" w:sz="4" w:space="0" w:color="auto"/>
              <w:left w:val="nil"/>
              <w:bottom w:val="single" w:sz="4" w:space="0" w:color="auto"/>
              <w:right w:val="nil"/>
            </w:tcBorders>
          </w:tcPr>
          <w:p w14:paraId="1000F67C" w14:textId="77777777" w:rsidR="00941203" w:rsidRPr="007F286F" w:rsidRDefault="00941203" w:rsidP="00941203">
            <w:pPr>
              <w:spacing w:before="120" w:after="120"/>
              <w:jc w:val="both"/>
              <w:rPr>
                <w:b/>
                <w:i/>
              </w:rPr>
            </w:pPr>
            <w:r w:rsidRPr="007F286F">
              <w:rPr>
                <w:b/>
                <w:i/>
              </w:rPr>
              <w:t>Article history:</w:t>
            </w:r>
          </w:p>
          <w:p w14:paraId="0FFCAFE4" w14:textId="1F10B25D" w:rsidR="00941203" w:rsidRDefault="00941203" w:rsidP="00957C11">
            <w:pPr>
              <w:jc w:val="both"/>
            </w:pPr>
            <w:r w:rsidRPr="00957C11">
              <w:t>Received</w:t>
            </w:r>
            <w:r>
              <w:t xml:space="preserve"> </w:t>
            </w:r>
            <w:proofErr w:type="spellStart"/>
            <w:r w:rsidR="00B3081B">
              <w:t>xxxxx</w:t>
            </w:r>
            <w:proofErr w:type="spellEnd"/>
          </w:p>
          <w:p w14:paraId="6BF4842F" w14:textId="642319B0" w:rsidR="00941203" w:rsidRDefault="00941203" w:rsidP="00957C11">
            <w:pPr>
              <w:jc w:val="both"/>
            </w:pPr>
            <w:r>
              <w:t xml:space="preserve">Revised </w:t>
            </w:r>
            <w:proofErr w:type="spellStart"/>
            <w:r w:rsidR="00B3081B">
              <w:t>xxxxx</w:t>
            </w:r>
            <w:proofErr w:type="spellEnd"/>
          </w:p>
          <w:p w14:paraId="1E7FEE6C" w14:textId="5086D9C8" w:rsidR="00941203" w:rsidRDefault="00941203" w:rsidP="00957C11">
            <w:pPr>
              <w:jc w:val="both"/>
            </w:pPr>
            <w:r>
              <w:t xml:space="preserve">Accepted </w:t>
            </w:r>
            <w:proofErr w:type="spellStart"/>
            <w:r w:rsidR="00B3081B">
              <w:t>xxxx</w:t>
            </w:r>
            <w:proofErr w:type="spellEnd"/>
          </w:p>
          <w:p w14:paraId="2CEA55B7" w14:textId="77777777" w:rsidR="00941203" w:rsidRPr="00957C11" w:rsidRDefault="00941203" w:rsidP="00941203">
            <w:pPr>
              <w:jc w:val="both"/>
            </w:pPr>
          </w:p>
        </w:tc>
        <w:tc>
          <w:tcPr>
            <w:tcW w:w="283" w:type="dxa"/>
            <w:vMerge w:val="restart"/>
            <w:tcBorders>
              <w:top w:val="nil"/>
              <w:left w:val="nil"/>
              <w:bottom w:val="nil"/>
              <w:right w:val="nil"/>
            </w:tcBorders>
          </w:tcPr>
          <w:p w14:paraId="34E714F7" w14:textId="77777777" w:rsidR="00941203" w:rsidRDefault="00941203" w:rsidP="00957C11">
            <w:pPr>
              <w:spacing w:before="120"/>
              <w:jc w:val="both"/>
            </w:pPr>
          </w:p>
        </w:tc>
        <w:tc>
          <w:tcPr>
            <w:tcW w:w="5812" w:type="dxa"/>
            <w:vMerge w:val="restart"/>
            <w:tcBorders>
              <w:top w:val="single" w:sz="4" w:space="0" w:color="auto"/>
              <w:left w:val="nil"/>
              <w:bottom w:val="nil"/>
              <w:right w:val="nil"/>
            </w:tcBorders>
          </w:tcPr>
          <w:p w14:paraId="201C0626" w14:textId="48254CD2" w:rsidR="00941203" w:rsidRPr="00957C11" w:rsidRDefault="00B1792D" w:rsidP="00957C11">
            <w:pPr>
              <w:spacing w:before="120"/>
              <w:jc w:val="both"/>
            </w:pPr>
            <w:r w:rsidRPr="00B1792D">
              <w:rPr>
                <w:lang w:val="sv-SE"/>
              </w:rPr>
              <w:t>Adolescence is a period of searching for identity that requires information on reproductive health and sexuality so as not to fall into premarital sexual behavior. Parents play a very important role in providing reproductive health information to adolescents, but parents are often reluctant to provide this information because of obstacles, lack of support, and lack of confidence in providing reproductive health information. The purpose of this study was to determine the most influential factors between partner support, perceived barriers, and self-confidence in adolescent reproductive health education. The research method used analytical observation with a cross sectional approach which was conducted online in June-August 2020 to 300 parents who have teenagers aged 15-19 years in Surakarta. The sampling technique is Double Sampling using a questionnaire that has been tested for validity. Bivariate analysis was performed using chi square and multivariate analysis was performed using logistic regression test. The results showed that parents' self-confidence was the most influential factor in reproductive health education for adolescents (OR=3.052, CI=1.534-6.071). Parents who have low self-confidence tend not to provide comprehensive reproductive health information to adolescents. Training and assistance efforts are needed for parents on how to provide information on reproductive health to adolescents and reproductive health materials that need to be provided to adolescents.</w:t>
            </w:r>
          </w:p>
        </w:tc>
      </w:tr>
      <w:tr w:rsidR="00941203" w14:paraId="36A77C49" w14:textId="77777777" w:rsidTr="00C07BEF">
        <w:trPr>
          <w:trHeight w:val="1231"/>
        </w:trPr>
        <w:tc>
          <w:tcPr>
            <w:tcW w:w="2802" w:type="dxa"/>
            <w:vMerge w:val="restart"/>
            <w:tcBorders>
              <w:top w:val="single" w:sz="4" w:space="0" w:color="auto"/>
              <w:left w:val="nil"/>
              <w:bottom w:val="single" w:sz="4" w:space="0" w:color="auto"/>
              <w:right w:val="nil"/>
            </w:tcBorders>
          </w:tcPr>
          <w:p w14:paraId="0DF64E87" w14:textId="77777777" w:rsidR="00941203" w:rsidRPr="007F286F" w:rsidRDefault="00941203" w:rsidP="00941203">
            <w:pPr>
              <w:spacing w:before="120" w:after="120"/>
              <w:jc w:val="both"/>
              <w:rPr>
                <w:b/>
                <w:i/>
              </w:rPr>
            </w:pPr>
            <w:r w:rsidRPr="007F286F">
              <w:rPr>
                <w:b/>
                <w:i/>
              </w:rPr>
              <w:t>Keyword</w:t>
            </w:r>
            <w:r w:rsidR="005160A8">
              <w:rPr>
                <w:b/>
                <w:i/>
              </w:rPr>
              <w:t>s</w:t>
            </w:r>
            <w:r w:rsidRPr="007F286F">
              <w:rPr>
                <w:b/>
                <w:i/>
              </w:rPr>
              <w:t>:</w:t>
            </w:r>
          </w:p>
          <w:p w14:paraId="3D2F4951" w14:textId="5E346375" w:rsidR="00941203" w:rsidRDefault="00B16489" w:rsidP="00941203">
            <w:pPr>
              <w:jc w:val="both"/>
            </w:pPr>
            <w:r>
              <w:t>Confidence of parents</w:t>
            </w:r>
          </w:p>
          <w:p w14:paraId="5A1C6BB6" w14:textId="38D51099" w:rsidR="00941203" w:rsidRDefault="00B16489" w:rsidP="00941203">
            <w:pPr>
              <w:jc w:val="both"/>
            </w:pPr>
            <w:r>
              <w:t>Barriers</w:t>
            </w:r>
          </w:p>
          <w:p w14:paraId="0F5D034E" w14:textId="564FB3DE" w:rsidR="00941203" w:rsidRDefault="00B16489" w:rsidP="00941203">
            <w:pPr>
              <w:jc w:val="both"/>
            </w:pPr>
            <w:r>
              <w:t>Spouse Support</w:t>
            </w:r>
          </w:p>
          <w:p w14:paraId="7E54872C" w14:textId="464812DC" w:rsidR="00941203" w:rsidRDefault="00B16489" w:rsidP="00941203">
            <w:pPr>
              <w:jc w:val="both"/>
            </w:pPr>
            <w:r>
              <w:t>Reproductive Health and Sexuality</w:t>
            </w:r>
          </w:p>
          <w:p w14:paraId="0BD299E6" w14:textId="4C7C386D" w:rsidR="00941203" w:rsidRPr="00B16489" w:rsidRDefault="00B16489" w:rsidP="00941203">
            <w:pPr>
              <w:jc w:val="both"/>
              <w:rPr>
                <w:bCs/>
                <w:iCs/>
              </w:rPr>
            </w:pPr>
            <w:r>
              <w:rPr>
                <w:bCs/>
                <w:iCs/>
              </w:rPr>
              <w:t>Parent to adolescent communication</w:t>
            </w:r>
          </w:p>
        </w:tc>
        <w:tc>
          <w:tcPr>
            <w:tcW w:w="283" w:type="dxa"/>
            <w:vMerge/>
            <w:tcBorders>
              <w:top w:val="nil"/>
              <w:left w:val="nil"/>
              <w:bottom w:val="nil"/>
              <w:right w:val="nil"/>
            </w:tcBorders>
          </w:tcPr>
          <w:p w14:paraId="2966CA39" w14:textId="77777777" w:rsidR="00941203" w:rsidRDefault="00941203" w:rsidP="00957C11">
            <w:pPr>
              <w:spacing w:before="120"/>
              <w:jc w:val="both"/>
            </w:pPr>
          </w:p>
        </w:tc>
        <w:tc>
          <w:tcPr>
            <w:tcW w:w="5812" w:type="dxa"/>
            <w:vMerge/>
            <w:tcBorders>
              <w:top w:val="nil"/>
              <w:left w:val="nil"/>
              <w:bottom w:val="nil"/>
              <w:right w:val="nil"/>
            </w:tcBorders>
          </w:tcPr>
          <w:p w14:paraId="6768B2FD" w14:textId="77777777" w:rsidR="00941203" w:rsidRPr="00957C11" w:rsidRDefault="00941203" w:rsidP="00957C11">
            <w:pPr>
              <w:spacing w:before="120"/>
              <w:jc w:val="both"/>
              <w:rPr>
                <w:iCs/>
                <w:color w:val="000000"/>
                <w:sz w:val="18"/>
                <w:szCs w:val="18"/>
              </w:rPr>
            </w:pPr>
          </w:p>
        </w:tc>
      </w:tr>
      <w:tr w:rsidR="00941203" w14:paraId="20F4439B" w14:textId="77777777" w:rsidTr="00C07BEF">
        <w:trPr>
          <w:trHeight w:val="70"/>
        </w:trPr>
        <w:tc>
          <w:tcPr>
            <w:tcW w:w="2802" w:type="dxa"/>
            <w:vMerge/>
            <w:tcBorders>
              <w:top w:val="single" w:sz="4" w:space="0" w:color="auto"/>
              <w:left w:val="nil"/>
              <w:bottom w:val="single" w:sz="4" w:space="0" w:color="auto"/>
              <w:right w:val="nil"/>
            </w:tcBorders>
          </w:tcPr>
          <w:p w14:paraId="5257D755" w14:textId="77777777" w:rsidR="00941203" w:rsidRPr="007F286F" w:rsidRDefault="00941203" w:rsidP="00941203">
            <w:pPr>
              <w:spacing w:before="120" w:after="120"/>
              <w:jc w:val="both"/>
              <w:rPr>
                <w:b/>
                <w:i/>
              </w:rPr>
            </w:pPr>
          </w:p>
        </w:tc>
        <w:tc>
          <w:tcPr>
            <w:tcW w:w="283" w:type="dxa"/>
            <w:vMerge/>
            <w:tcBorders>
              <w:top w:val="nil"/>
              <w:left w:val="nil"/>
              <w:bottom w:val="nil"/>
              <w:right w:val="nil"/>
            </w:tcBorders>
          </w:tcPr>
          <w:p w14:paraId="0EECB76A" w14:textId="77777777" w:rsidR="00941203" w:rsidRDefault="00941203" w:rsidP="00957C11">
            <w:pPr>
              <w:spacing w:before="120"/>
              <w:jc w:val="both"/>
            </w:pPr>
          </w:p>
        </w:tc>
        <w:tc>
          <w:tcPr>
            <w:tcW w:w="5812" w:type="dxa"/>
            <w:tcBorders>
              <w:top w:val="nil"/>
              <w:left w:val="nil"/>
              <w:bottom w:val="single" w:sz="4" w:space="0" w:color="auto"/>
              <w:right w:val="nil"/>
            </w:tcBorders>
          </w:tcPr>
          <w:p w14:paraId="2A4527B0" w14:textId="77777777" w:rsidR="00BA5488" w:rsidRDefault="00BA5488" w:rsidP="00BA5488">
            <w:pPr>
              <w:spacing w:before="120" w:after="120"/>
              <w:jc w:val="right"/>
              <w:rPr>
                <w:i/>
                <w:iCs/>
                <w:color w:val="000000"/>
                <w:sz w:val="18"/>
                <w:szCs w:val="18"/>
              </w:rPr>
            </w:pPr>
            <w:r>
              <w:rPr>
                <w:i/>
                <w:iCs/>
                <w:color w:val="000000"/>
                <w:sz w:val="18"/>
                <w:szCs w:val="18"/>
              </w:rPr>
              <w:t xml:space="preserve">This is an open access article under the </w:t>
            </w:r>
            <w:hyperlink r:id="rId8" w:history="1">
              <w:r>
                <w:rPr>
                  <w:rStyle w:val="Hyperlink"/>
                  <w:i/>
                  <w:iCs/>
                  <w:sz w:val="18"/>
                  <w:szCs w:val="18"/>
                </w:rPr>
                <w:t>CC BY-SA</w:t>
              </w:r>
            </w:hyperlink>
            <w:r>
              <w:rPr>
                <w:i/>
                <w:iCs/>
                <w:color w:val="000000"/>
                <w:sz w:val="18"/>
                <w:szCs w:val="18"/>
              </w:rPr>
              <w:t xml:space="preserve"> license.</w:t>
            </w:r>
          </w:p>
          <w:p w14:paraId="3A105E09" w14:textId="77777777" w:rsidR="00941203" w:rsidRPr="00941203" w:rsidRDefault="00BA5488" w:rsidP="00BA5488">
            <w:pPr>
              <w:spacing w:before="120" w:after="120"/>
              <w:jc w:val="right"/>
              <w:rPr>
                <w:i/>
                <w:iCs/>
                <w:color w:val="000000"/>
                <w:sz w:val="18"/>
                <w:szCs w:val="18"/>
              </w:rPr>
            </w:pPr>
            <w:r>
              <w:rPr>
                <w:noProof/>
                <w:lang w:val="en-AU" w:eastAsia="en-AU"/>
              </w:rPr>
              <w:drawing>
                <wp:inline distT="0" distB="0" distL="0" distR="0" wp14:anchorId="3AE1EECB" wp14:editId="0892A795">
                  <wp:extent cx="1052830" cy="372110"/>
                  <wp:effectExtent l="0" t="0" r="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52830" cy="372110"/>
                          </a:xfrm>
                          <a:prstGeom prst="rect">
                            <a:avLst/>
                          </a:prstGeom>
                          <a:noFill/>
                          <a:ln>
                            <a:noFill/>
                          </a:ln>
                        </pic:spPr>
                      </pic:pic>
                    </a:graphicData>
                  </a:graphic>
                </wp:inline>
              </w:drawing>
            </w:r>
          </w:p>
        </w:tc>
      </w:tr>
      <w:tr w:rsidR="007F286F" w14:paraId="059FAA1A" w14:textId="77777777" w:rsidTr="00C07BEF">
        <w:tc>
          <w:tcPr>
            <w:tcW w:w="8897" w:type="dxa"/>
            <w:gridSpan w:val="3"/>
            <w:tcBorders>
              <w:top w:val="nil"/>
              <w:left w:val="nil"/>
              <w:bottom w:val="double" w:sz="4" w:space="0" w:color="auto"/>
              <w:right w:val="nil"/>
            </w:tcBorders>
          </w:tcPr>
          <w:p w14:paraId="55D25DF6" w14:textId="77777777" w:rsidR="007F286F" w:rsidRPr="007F286F" w:rsidRDefault="007F286F" w:rsidP="00941203">
            <w:pPr>
              <w:spacing w:before="120" w:after="120"/>
              <w:rPr>
                <w:b/>
                <w:i/>
              </w:rPr>
            </w:pPr>
            <w:r w:rsidRPr="007F286F">
              <w:rPr>
                <w:b/>
                <w:i/>
              </w:rPr>
              <w:t>Corresponding Author:</w:t>
            </w:r>
          </w:p>
          <w:p w14:paraId="026B793E" w14:textId="789EFCF7" w:rsidR="007F286F" w:rsidRDefault="0002698B" w:rsidP="007F286F">
            <w:proofErr w:type="spellStart"/>
            <w:r>
              <w:t>Tanjung</w:t>
            </w:r>
            <w:proofErr w:type="spellEnd"/>
            <w:r>
              <w:t xml:space="preserve"> </w:t>
            </w:r>
            <w:proofErr w:type="spellStart"/>
            <w:r>
              <w:t>Anitasari</w:t>
            </w:r>
            <w:proofErr w:type="spellEnd"/>
            <w:r>
              <w:t xml:space="preserve"> Indah </w:t>
            </w:r>
            <w:proofErr w:type="spellStart"/>
            <w:r>
              <w:t>Kusumaningrum</w:t>
            </w:r>
            <w:proofErr w:type="spellEnd"/>
            <w:r w:rsidR="007F286F">
              <w:t xml:space="preserve">, </w:t>
            </w:r>
          </w:p>
          <w:p w14:paraId="7016EEF3" w14:textId="30F515BD" w:rsidR="007F286F" w:rsidRDefault="0085352C" w:rsidP="007F286F">
            <w:r>
              <w:t>Depart</w:t>
            </w:r>
            <w:r w:rsidR="007F286F">
              <w:t xml:space="preserve">ment of </w:t>
            </w:r>
            <w:r w:rsidR="0002698B">
              <w:t>Public Health</w:t>
            </w:r>
            <w:r w:rsidR="00941203">
              <w:t>,</w:t>
            </w:r>
          </w:p>
          <w:p w14:paraId="3AD9DFA9" w14:textId="18F378B7" w:rsidR="007F286F" w:rsidRDefault="0002698B" w:rsidP="007F286F">
            <w:r>
              <w:t>Universitas Muhammadiyah Surakarta</w:t>
            </w:r>
            <w:r w:rsidR="00941203">
              <w:t>,</w:t>
            </w:r>
          </w:p>
          <w:p w14:paraId="536618DB" w14:textId="6290B5D9" w:rsidR="007F286F" w:rsidRDefault="0002698B" w:rsidP="007F286F">
            <w:r>
              <w:t xml:space="preserve">Jalan </w:t>
            </w:r>
            <w:proofErr w:type="spellStart"/>
            <w:proofErr w:type="gramStart"/>
            <w:r>
              <w:t>A.Yani</w:t>
            </w:r>
            <w:proofErr w:type="spellEnd"/>
            <w:proofErr w:type="gramEnd"/>
            <w:r>
              <w:t xml:space="preserve">, </w:t>
            </w:r>
            <w:proofErr w:type="spellStart"/>
            <w:r w:rsidR="008A72EA">
              <w:t>Tromol</w:t>
            </w:r>
            <w:proofErr w:type="spellEnd"/>
            <w:r w:rsidR="008A72EA">
              <w:t xml:space="preserve"> Pos 1</w:t>
            </w:r>
            <w:r w:rsidR="007F286F">
              <w:t>,</w:t>
            </w:r>
            <w:r>
              <w:t xml:space="preserve"> </w:t>
            </w:r>
            <w:proofErr w:type="spellStart"/>
            <w:r>
              <w:t>Pabelan</w:t>
            </w:r>
            <w:proofErr w:type="spellEnd"/>
            <w:r w:rsidR="007F286F">
              <w:t>,</w:t>
            </w:r>
            <w:r>
              <w:t xml:space="preserve"> </w:t>
            </w:r>
            <w:proofErr w:type="spellStart"/>
            <w:r>
              <w:t>Kecamatan</w:t>
            </w:r>
            <w:proofErr w:type="spellEnd"/>
            <w:r>
              <w:t xml:space="preserve"> </w:t>
            </w:r>
            <w:proofErr w:type="spellStart"/>
            <w:r>
              <w:t>Kartasura</w:t>
            </w:r>
            <w:proofErr w:type="spellEnd"/>
            <w:r>
              <w:t xml:space="preserve">, </w:t>
            </w:r>
            <w:proofErr w:type="spellStart"/>
            <w:r>
              <w:t>Kabupaten</w:t>
            </w:r>
            <w:proofErr w:type="spellEnd"/>
            <w:r>
              <w:t xml:space="preserve"> </w:t>
            </w:r>
            <w:proofErr w:type="spellStart"/>
            <w:r>
              <w:t>Sukoharjo</w:t>
            </w:r>
            <w:proofErr w:type="spellEnd"/>
            <w:r>
              <w:t xml:space="preserve">, </w:t>
            </w:r>
            <w:proofErr w:type="spellStart"/>
            <w:r>
              <w:t>Jawa</w:t>
            </w:r>
            <w:proofErr w:type="spellEnd"/>
            <w:r>
              <w:t xml:space="preserve"> Tengah,  57</w:t>
            </w:r>
            <w:r w:rsidR="007F286F">
              <w:t xml:space="preserve">102, </w:t>
            </w:r>
            <w:r>
              <w:t>Indonesia</w:t>
            </w:r>
            <w:r w:rsidR="00941203">
              <w:t>.</w:t>
            </w:r>
          </w:p>
          <w:p w14:paraId="0ED467D2" w14:textId="5DAFB064" w:rsidR="00941203" w:rsidRPr="00957C11" w:rsidRDefault="00941203" w:rsidP="006B027E">
            <w:pPr>
              <w:spacing w:after="120"/>
              <w:rPr>
                <w:color w:val="000000"/>
                <w:sz w:val="18"/>
                <w:szCs w:val="18"/>
              </w:rPr>
            </w:pPr>
            <w:r>
              <w:t xml:space="preserve">Email: </w:t>
            </w:r>
            <w:r w:rsidR="0002698B">
              <w:t>tanjung.anitasari@ums.ac.id</w:t>
            </w:r>
          </w:p>
        </w:tc>
      </w:tr>
    </w:tbl>
    <w:p w14:paraId="594D4D82" w14:textId="77777777" w:rsidR="00957C11" w:rsidRDefault="00957C11" w:rsidP="00957C11">
      <w:pPr>
        <w:jc w:val="both"/>
      </w:pPr>
    </w:p>
    <w:p w14:paraId="05A3588F" w14:textId="77777777" w:rsidR="00C07BEF" w:rsidRPr="00957C11" w:rsidRDefault="00C07BEF" w:rsidP="00957C11">
      <w:pPr>
        <w:jc w:val="both"/>
      </w:pPr>
    </w:p>
    <w:p w14:paraId="2A95703A" w14:textId="54A12B8B" w:rsidR="00552A9C" w:rsidRPr="00552A9C" w:rsidRDefault="00F33C08" w:rsidP="00552A9C">
      <w:pPr>
        <w:numPr>
          <w:ilvl w:val="0"/>
          <w:numId w:val="15"/>
        </w:numPr>
        <w:tabs>
          <w:tab w:val="left" w:pos="426"/>
        </w:tabs>
        <w:ind w:left="426" w:hanging="426"/>
        <w:rPr>
          <w:b/>
          <w:bCs/>
          <w:lang w:val="id-ID"/>
        </w:rPr>
      </w:pPr>
      <w:r w:rsidRPr="00956EB6">
        <w:rPr>
          <w:b/>
          <w:bCs/>
          <w:lang w:val="id-ID"/>
        </w:rPr>
        <w:t>INTRODUCTION</w:t>
      </w:r>
      <w:r>
        <w:rPr>
          <w:b/>
          <w:bCs/>
        </w:rPr>
        <w:t xml:space="preserve"> </w:t>
      </w:r>
    </w:p>
    <w:p w14:paraId="41FF19F1" w14:textId="72074B14" w:rsidR="00552A9C" w:rsidRDefault="00B1792D" w:rsidP="00552A9C">
      <w:pPr>
        <w:autoSpaceDE w:val="0"/>
        <w:autoSpaceDN w:val="0"/>
        <w:adjustRightInd w:val="0"/>
        <w:ind w:firstLine="720"/>
        <w:jc w:val="both"/>
      </w:pPr>
      <w:r w:rsidRPr="00B1792D">
        <w:t>Adolescents are an age group with a fairly large number in the world, reaching 1.2 billion in the world</w:t>
      </w:r>
      <w:r w:rsidR="00552A9C">
        <w:t xml:space="preserve"> </w:t>
      </w:r>
      <w:r w:rsidR="00552A9C">
        <w:fldChar w:fldCharType="begin" w:fldLock="1"/>
      </w:r>
      <w:r w:rsidR="00E30FA5">
        <w:instrText>ADDIN CSL_CITATION {"citationItems":[{"id":"ITEM-1","itemData":{"abstract":"The Sustainable Development Goals and global political momentum behind Universal Health Coverage (UHC) offer significant opportunities to build collective global and national action towards achieving universal health coverage for adolescents. This paper sets out the evidence base on adolescent health and makes the case that to achieve Universal Health Coverage, policy makers need to take urgent action in the areas of service delivery, financing and governance.","author":[{"dropping-particle":"","family":"WHO","given":"","non-dropping-particle":"","parse-names":false,"suffix":""}],"container-title":"Www.Who.Int","id":"ITEM-1","issued":{"date-parts":[["2018"]]},"page":"1-32","title":"Adolescent Health: The missing population in Universal Health Coverage","type":"article-journal"},"uris":["http://www.mendeley.com/documents/?uuid=8fa97bb5-6a41-4abe-b70c-b94efe6099e1"]}],"mendeley":{"formattedCitation":"[1]","plainTextFormattedCitation":"[1]","previouslyFormattedCitation":"[1]"},"properties":{"noteIndex":0},"schema":"https://github.com/citation-style-language/schema/raw/master/csl-citation.json"}</w:instrText>
      </w:r>
      <w:r w:rsidR="00552A9C">
        <w:fldChar w:fldCharType="separate"/>
      </w:r>
      <w:r w:rsidR="00552A9C" w:rsidRPr="00552A9C">
        <w:rPr>
          <w:noProof/>
        </w:rPr>
        <w:t>[1]</w:t>
      </w:r>
      <w:r w:rsidR="00552A9C">
        <w:fldChar w:fldCharType="end"/>
      </w:r>
      <w:r w:rsidR="00552A9C">
        <w:t xml:space="preserve">. </w:t>
      </w:r>
      <w:r w:rsidRPr="00B1792D">
        <w:t xml:space="preserve">Adolescents are also classified as stages that usually have a fairly high curiosity with different needs depending on the stage of the adolescent's development. Assistance efforts for adolescents are needed so that adolescents can make the right decisions regarding their health </w:t>
      </w:r>
      <w:r w:rsidR="00552A9C">
        <w:fldChar w:fldCharType="begin" w:fldLock="1"/>
      </w:r>
      <w:r w:rsidR="00E30FA5">
        <w:instrText>ADDIN CSL_CITATION {"citationItems":[{"id":"ITEM-1","itemData":{"ISBN":"9789241514606","abstract":"This document provides an overview of sexual and reproductive health and rights issues that may be important for the human rights, health and well-being of adolescents (aged 10–19 years) and the relevant World Health Organization (WHO) guidelines on how to address them in an easily accessible, user-friendly format. The document serves as a gateway to the rich body of WHO guidelines, and as a handy resource to inform advocacy, policy and programme/project design and research. It aims to support the implementation of the Global Strategy for Women’s, Children’s and Adolescents’ Health 2016–2030 (1), and is aligned with the WHO Global Accelerated Action for the Health of Adolescents (AA-HA!) as well as the WHO Operational Framework on Sexual Health and Its Linkages to Reproductive Health","author":[{"dropping-particle":"","family":"WHO","given":"","non-dropping-particle":"","parse-names":false,"suffix":""}],"container-title":"Geneva: World Health Organization; 2018. Licence: CC BY-NC-SA 3.0 IGO.","id":"ITEM-1","issued":{"date-parts":[["2018"]]},"number-of-pages":"1-88","title":"WHO recommendations on adolescent sexual and reproductive health and rights","type":"book"},"uris":["http://www.mendeley.com/documents/?uuid=864283b4-e34f-432e-ac18-bfca2df99a40"]}],"mendeley":{"formattedCitation":"[2]","plainTextFormattedCitation":"[2]","previouslyFormattedCitation":"[2]"},"properties":{"noteIndex":0},"schema":"https://github.com/citation-style-language/schema/raw/master/csl-citation.json"}</w:instrText>
      </w:r>
      <w:r w:rsidR="00552A9C">
        <w:fldChar w:fldCharType="separate"/>
      </w:r>
      <w:r w:rsidR="00552A9C" w:rsidRPr="00552A9C">
        <w:rPr>
          <w:noProof/>
        </w:rPr>
        <w:t>[2]</w:t>
      </w:r>
      <w:r w:rsidR="00552A9C">
        <w:fldChar w:fldCharType="end"/>
      </w:r>
      <w:r w:rsidR="00552A9C">
        <w:t xml:space="preserve">. </w:t>
      </w:r>
    </w:p>
    <w:p w14:paraId="72930738" w14:textId="74AACC10" w:rsidR="00552A9C" w:rsidRDefault="00B1792D" w:rsidP="00552A9C">
      <w:pPr>
        <w:autoSpaceDE w:val="0"/>
        <w:autoSpaceDN w:val="0"/>
        <w:adjustRightInd w:val="0"/>
        <w:ind w:firstLine="720"/>
        <w:jc w:val="both"/>
      </w:pPr>
      <w:r w:rsidRPr="00B1792D">
        <w:lastRenderedPageBreak/>
        <w:t xml:space="preserve">If adolescents cannot implement a healthy lifestyle, they will be vulnerable to a health problem. Various health problems are estimated to be the five causes of death in adolescents, one of which is HIV/AIDS </w:t>
      </w:r>
      <w:r w:rsidR="00552A9C">
        <w:fldChar w:fldCharType="begin" w:fldLock="1"/>
      </w:r>
      <w:r w:rsidR="00E30FA5">
        <w:instrText>ADDIN CSL_CITATION {"citationItems":[{"id":"ITEM-1","itemData":{"abstract":"The Sustainable Development Goals and global political momentum behind Universal Health Coverage (UHC) offer significant opportunities to build collective global and national action towards achieving universal health coverage for adolescents. This paper sets out the evidence base on adolescent health and makes the case that to achieve Universal Health Coverage, policy makers need to take urgent action in the areas of service delivery, financing and governance.","author":[{"dropping-particle":"","family":"WHO","given":"","non-dropping-particle":"","parse-names":false,"suffix":""}],"container-title":"Www.Who.Int","id":"ITEM-1","issued":{"date-parts":[["2018"]]},"page":"1-32","title":"Adolescent Health: The missing population in Universal Health Coverage","type":"article-journal"},"uris":["http://www.mendeley.com/documents/?uuid=8fa97bb5-6a41-4abe-b70c-b94efe6099e1"]}],"mendeley":{"formattedCitation":"[1]","plainTextFormattedCitation":"[1]","previouslyFormattedCitation":"[1]"},"properties":{"noteIndex":0},"schema":"https://github.com/citation-style-language/schema/raw/master/csl-citation.json"}</w:instrText>
      </w:r>
      <w:r w:rsidR="00552A9C">
        <w:fldChar w:fldCharType="separate"/>
      </w:r>
      <w:r w:rsidR="00552A9C" w:rsidRPr="00552A9C">
        <w:rPr>
          <w:noProof/>
        </w:rPr>
        <w:t>[1]</w:t>
      </w:r>
      <w:r w:rsidR="00552A9C">
        <w:fldChar w:fldCharType="end"/>
      </w:r>
      <w:r w:rsidR="00552A9C">
        <w:t xml:space="preserve">. </w:t>
      </w:r>
      <w:r w:rsidRPr="00B1792D">
        <w:t xml:space="preserve">There were 3% of HIV cases in the age group 15-19 years in 2019 in Indonesia. Meanwhile, cases of HIV infection in Central Java are the fourth highest with a total of 5,630 cases </w:t>
      </w:r>
      <w:r w:rsidR="00552A9C">
        <w:fldChar w:fldCharType="begin" w:fldLock="1"/>
      </w:r>
      <w:r w:rsidR="00E30FA5">
        <w:instrText>ADDIN CSL_CITATION {"citationItems":[{"id":"ITEM-1","itemData":{"abstract":"Real time operating data is very important to understand actual system response. Unfortunately, the amount of physical data points typically collected is very small and often interpretation of the data is difficult. Expansion techniques have been developed using traditional experimental modal data to augment this limited set of data. This expansion process allows for a much improved description of the real time operating response. This paper presents the results from several different structures to show the robustness of the technique. Comparisons are made to a more complete set of measured data to validate the approach. Both analytical simulations and actual experimental data are used to illustrate the usefulness of the technique. © 2012 Elsevier Ltd. All rights reserved.","author":[{"dropping-particle":"","family":"KEMENKES RI","given":"","non-dropping-particle":"","parse-names":false,"suffix":""}],"container-title":"Kesehatan","id":"ITEM-1","issued":{"date-parts":[["2020"]]},"page":"1-8","title":"Infodatin HIV AIDS","type":"article-journal"},"uris":["http://www.mendeley.com/documents/?uuid=1e33fa91-26d3-4967-a1a0-4f46c870580e"]}],"mendeley":{"formattedCitation":"[3]","plainTextFormattedCitation":"[3]","previouslyFormattedCitation":"[3]"},"properties":{"noteIndex":0},"schema":"https://github.com/citation-style-language/schema/raw/master/csl-citation.json"}</w:instrText>
      </w:r>
      <w:r w:rsidR="00552A9C">
        <w:fldChar w:fldCharType="separate"/>
      </w:r>
      <w:r w:rsidR="00552A9C" w:rsidRPr="00552A9C">
        <w:rPr>
          <w:noProof/>
        </w:rPr>
        <w:t>[3]</w:t>
      </w:r>
      <w:r w:rsidR="00552A9C">
        <w:fldChar w:fldCharType="end"/>
      </w:r>
      <w:r w:rsidR="00552A9C">
        <w:t xml:space="preserve">. </w:t>
      </w:r>
      <w:r w:rsidRPr="00B1792D">
        <w:t>Surakarta City is one of the cities in Central Java with new HIV cases showing an increase, namely in 2018 by 90 cases to 107 cases in 2019</w:t>
      </w:r>
      <w:r w:rsidR="00552A9C">
        <w:t xml:space="preserve"> </w:t>
      </w:r>
      <w:r w:rsidR="00552A9C">
        <w:fldChar w:fldCharType="begin" w:fldLock="1"/>
      </w:r>
      <w:r w:rsidR="00E30FA5">
        <w:instrText>ADDIN CSL_CITATION {"citationItems":[{"id":"ITEM-1","itemData":{"author":[{"dropping-particle":"","family":"Dinas Kesehatan Kota Surakarta","given":"","non-dropping-particle":"","parse-names":false,"suffix":""}],"container-title":"Profil Kesehatan Kota Surakara","id":"ITEM-1","issued":{"date-parts":[["2019"]]},"title":"Profil Kesehatan Kota Surakarta Tahun 2018","type":"report"},"uris":["http://www.mendeley.com/documents/?uuid=af40b6a8-8156-425a-9806-3df02978d3ee"]},{"id":"ITEM-2","itemData":{"abstract":"Penyakit diare masih merupakan masalah kesehatan masyarakat di negara berkembang seperti di Indonesia, karena morbiditas dan mortalitas-nya yang masih tinggi. Survei morbiditas yang dilakukan oleh Subdit Diare, Departemen Kesehatan dari tahun 2000 s/d 2010 terlihat kecenderungan insidens naik. Pada tahun 2000 IR penyakit Diare 301/ 1000 penduduk, tahun 2003 naik menjadi 374 /1000 penduduk, tahun 2006 naik menjadi 423 /1000 penduduk dan tahun 2010 menjadi 411/1000 penduduk. Kejadian Luar Biasa (KLB) diare juga masih sering terjadi, dengan CFR yang masih tinggi. Pada tahun 2008 terjadi KLB di 69 Kecamatan dengan jumlah kasus 8133 orang, kematian 239 orang (CFR 2,94%). Tahun 2009 terjadi KLB di 24 Kecamatan dengan jumlah kasus 5.756 orang, dengan kematian 100 orang (CFR 1,74%), sedangkan tahun 2010 terjadi KLB diare di 33 kecamatan dengan jumlah penderita 4204 dengan kematian 73 orang (CFR 1,74 %.) Salah","author":[{"dropping-particle":"","family":"Dinas Kesehatan Kota Surakarta","given":"","non-dropping-particle":"","parse-names":false,"suffix":""}],"id":"ITEM-2","issued":{"date-parts":[["2020"]]},"title":"Profil Kesehatan Kota Surakarta","type":"report"},"uris":["http://www.mendeley.com/documents/?uuid=2df643de-29b5-43e9-b6b8-60a192b674e3"]}],"mendeley":{"formattedCitation":"[4], [5]","plainTextFormattedCitation":"[4], [5]","previouslyFormattedCitation":"[4], [5]"},"properties":{"noteIndex":0},"schema":"https://github.com/citation-style-language/schema/raw/master/csl-citation.json"}</w:instrText>
      </w:r>
      <w:r w:rsidR="00552A9C">
        <w:fldChar w:fldCharType="separate"/>
      </w:r>
      <w:r w:rsidR="00552A9C" w:rsidRPr="00552A9C">
        <w:rPr>
          <w:noProof/>
        </w:rPr>
        <w:t>[4], [5]</w:t>
      </w:r>
      <w:r w:rsidR="00552A9C">
        <w:fldChar w:fldCharType="end"/>
      </w:r>
      <w:r w:rsidR="00552A9C">
        <w:t xml:space="preserve">. </w:t>
      </w:r>
    </w:p>
    <w:p w14:paraId="0D88D2ED" w14:textId="7078DCA3" w:rsidR="00552A9C" w:rsidRDefault="00B1792D" w:rsidP="00552A9C">
      <w:pPr>
        <w:autoSpaceDE w:val="0"/>
        <w:autoSpaceDN w:val="0"/>
        <w:adjustRightInd w:val="0"/>
        <w:ind w:firstLine="720"/>
        <w:jc w:val="both"/>
      </w:pPr>
      <w:r w:rsidRPr="00B1792D">
        <w:t xml:space="preserve">The majority of adolescents are infected with HIV through sexual transmission </w:t>
      </w:r>
      <w:r w:rsidR="00552A9C">
        <w:fldChar w:fldCharType="begin" w:fldLock="1"/>
      </w:r>
      <w:r w:rsidR="00E30FA5">
        <w:instrText>ADDIN CSL_CITATION {"citationItems":[{"id":"ITEM-1","itemData":{"DOI":"10.1097/QAI.0000000000000176","ISBN":"0000000000000","ISSN":"10779450","PMID":"24918590","abstract":"OBJECTIVES: To examine levels and patterns of HIV prevalence, knowledge, sexual behavior, and coverage of selected HIV services among adolescents aged 10-19 years and highlight data gaps and challenges. METHODS: Data were reviewed from Joint United Nations Programme on HIV/AIDS HIV estimates, nationally representative household surveys, behavioral surveillance surveys, and published literature. RESULTS: A number of gaps exist for adolescent-specific HIV-related data; however, important implications for programming can be drawn. Eighty-two percent of the estimated 2.1 million adolescents aged 10-19 years living with HIV in 2012 were in sub-Saharan Africa, and the majority of these (58%) were females. Comprehensive accurate knowledge about HIV, condom use, HIV testing, and antiretroviral treatment coverage remain low in most countries. Early sexual debut (sex before 15 years of age) is more common among adolescent girls than boys in low- and middle-income countries, consistent with early marriage and early childbirth in these countries. In low and concentrated epidemic countries, HIV prevalence is highest among key populations. CONCLUSIONS: Although the available HIV-related data on adolescents are limited, increased HIV vulnerability in the second decade of life is evident in the data. Improving data gathering, analysis, and reporting systems specific to adolescents is essential to monitoring progress and improving health outcomes for adolescents. More systematic and better quality disaggregated data are needed to understand differences by sex, age, geography, and socioeconomic factors and to address equity and human rights obligations, especially for key populations. Copyright © 2014 by Lippincott Williams &amp; Wilkins.","author":[{"dropping-particle":"","family":"Idele","given":"Priscilla","non-dropping-particle":"","parse-names":false,"suffix":""},{"dropping-particle":"","family":"Gillespie","given":"Amaya","non-dropping-particle":"","parse-names":false,"suffix":""},{"dropping-particle":"","family":"Porth","given":"Tyler","non-dropping-particle":"","parse-names":false,"suffix":""},{"dropping-particle":"","family":"Suzuki","given":"Chiho","non-dropping-particle":"","parse-names":false,"suffix":""},{"dropping-particle":"","family":"Mahy","given":"Mary","non-dropping-particle":"","parse-names":false,"suffix":""},{"dropping-particle":"","family":"Kasedde","given":"Susan","non-dropping-particle":"","parse-names":false,"suffix":""},{"dropping-particle":"","family":"Luo","given":"Chewe","non-dropping-particle":"","parse-names":false,"suffix":""}],"container-title":"Journal of Acquired Immune Deficiency Syndromes","id":"ITEM-1","issue":"SUPPL. 2","issued":{"date-parts":[["2014"]]},"title":"Epidemiology of HIV and AIDS among adolescents: Current status, inequities, and data gaps","type":"article-journal","volume":"66"},"uris":["http://www.mendeley.com/documents/?uuid=0d2a5b21-6814-46f7-a43e-d1cd5cf71478"]}],"mendeley":{"formattedCitation":"[6]","plainTextFormattedCitation":"[6]","previouslyFormattedCitation":"[6]"},"properties":{"noteIndex":0},"schema":"https://github.com/citation-style-language/schema/raw/master/csl-citation.json"}</w:instrText>
      </w:r>
      <w:r w:rsidR="00552A9C">
        <w:fldChar w:fldCharType="separate"/>
      </w:r>
      <w:r w:rsidR="00552A9C" w:rsidRPr="00552A9C">
        <w:rPr>
          <w:noProof/>
        </w:rPr>
        <w:t>[6]</w:t>
      </w:r>
      <w:r w:rsidR="00552A9C">
        <w:fldChar w:fldCharType="end"/>
      </w:r>
      <w:r w:rsidR="00552A9C">
        <w:t xml:space="preserve">. </w:t>
      </w:r>
      <w:r w:rsidRPr="00B1792D">
        <w:t>If we look at the data on the reproductive health situation in Indonesia, it was found that adolescents first dated at the age of 15-17 years, and there were 34.5% of male adolescents aged 15-19 years who admitted that they first dated at the age of less than 15 years. The age that is too young for dating makes adolescents vulnerable to HIV risk behaviors such as premarital sex. The reason why teenagers have premarital sex is that 57.5% of boys are out of curiosity, and for girls the reason is that they are invited or forced by their partners or it just happens. This condition can occur because adolescents still lack knowledge about reproductive health, such as adolescents aged 15-19 years who do not know that one time sexual intercourse can cause pregnancy (31.2% of boys and 35.3% of girls)</w:t>
      </w:r>
      <w:r w:rsidR="00B57D0E">
        <w:t xml:space="preserve"> </w:t>
      </w:r>
      <w:r w:rsidR="00552A9C">
        <w:fldChar w:fldCharType="begin" w:fldLock="1"/>
      </w:r>
      <w:r w:rsidR="00E30FA5">
        <w:instrText>ADDIN CSL_CITATION {"citationItems":[{"id":"ITEM-1","itemData":{"abstract":"menurut who remaja adalaha penduduk dalam rentang usia 10-19 tahun, menurut peraturan menteri kesehatan ri tahun 2014 remaja adalah penduduk dalam rentang usia 10-18 tahun","author":[{"dropping-particle":"","family":"Pusat Data dan Informasi Kementerian Kesehatan RI","given":"","non-dropping-particle":"","parse-names":false,"suffix":""}],"container-title":"Situasi Kesehatan Reproduksi Remaja","id":"ITEM-1","issued":{"date-parts":[["2017"]]},"page":"1","title":"Situasi Kesehatan Reproduksi Remaja","type":"article"},"uris":["http://www.mendeley.com/documents/?uuid=42c670ee-c733-4fe4-ba6c-4929bc3d1e1b"]}],"mendeley":{"formattedCitation":"[7]","plainTextFormattedCitation":"[7]","previouslyFormattedCitation":"[7]"},"properties":{"noteIndex":0},"schema":"https://github.com/citation-style-language/schema/raw/master/csl-citation.json"}</w:instrText>
      </w:r>
      <w:r w:rsidR="00552A9C">
        <w:fldChar w:fldCharType="separate"/>
      </w:r>
      <w:r w:rsidR="00552A9C" w:rsidRPr="00552A9C">
        <w:rPr>
          <w:noProof/>
        </w:rPr>
        <w:t>[7]</w:t>
      </w:r>
      <w:r w:rsidR="00552A9C">
        <w:fldChar w:fldCharType="end"/>
      </w:r>
      <w:r w:rsidR="00552A9C">
        <w:t xml:space="preserve">. </w:t>
      </w:r>
      <w:r w:rsidRPr="00B1792D">
        <w:t xml:space="preserve">Therefore, adolescents need to have sufficient knowledge related to reproductive health, how to prevent HIV, as well as skills not to engage in premarital sex </w:t>
      </w:r>
      <w:r w:rsidR="00552A9C">
        <w:fldChar w:fldCharType="begin" w:fldLock="1"/>
      </w:r>
      <w:r w:rsidR="00E30FA5">
        <w:instrText>ADDIN CSL_CITATION {"citationItems":[{"id":"ITEM-1","itemData":{"DOI":"10.1097/QAI.0000000000000176","ISBN":"0000000000000","ISSN":"10779450","PMID":"24918590","abstract":"OBJECTIVES: To examine levels and patterns of HIV prevalence, knowledge, sexual behavior, and coverage of selected HIV services among adolescents aged 10-19 years and highlight data gaps and challenges. METHODS: Data were reviewed from Joint United Nations Programme on HIV/AIDS HIV estimates, nationally representative household surveys, behavioral surveillance surveys, and published literature. RESULTS: A number of gaps exist for adolescent-specific HIV-related data; however, important implications for programming can be drawn. Eighty-two percent of the estimated 2.1 million adolescents aged 10-19 years living with HIV in 2012 were in sub-Saharan Africa, and the majority of these (58%) were females. Comprehensive accurate knowledge about HIV, condom use, HIV testing, and antiretroviral treatment coverage remain low in most countries. Early sexual debut (sex before 15 years of age) is more common among adolescent girls than boys in low- and middle-income countries, consistent with early marriage and early childbirth in these countries. In low and concentrated epidemic countries, HIV prevalence is highest among key populations. CONCLUSIONS: Although the available HIV-related data on adolescents are limited, increased HIV vulnerability in the second decade of life is evident in the data. Improving data gathering, analysis, and reporting systems specific to adolescents is essential to monitoring progress and improving health outcomes for adolescents. More systematic and better quality disaggregated data are needed to understand differences by sex, age, geography, and socioeconomic factors and to address equity and human rights obligations, especially for key populations. Copyright © 2014 by Lippincott Williams &amp; Wilkins.","author":[{"dropping-particle":"","family":"Idele","given":"Priscilla","non-dropping-particle":"","parse-names":false,"suffix":""},{"dropping-particle":"","family":"Gillespie","given":"Amaya","non-dropping-particle":"","parse-names":false,"suffix":""},{"dropping-particle":"","family":"Porth","given":"Tyler","non-dropping-particle":"","parse-names":false,"suffix":""},{"dropping-particle":"","family":"Suzuki","given":"Chiho","non-dropping-particle":"","parse-names":false,"suffix":""},{"dropping-particle":"","family":"Mahy","given":"Mary","non-dropping-particle":"","parse-names":false,"suffix":""},{"dropping-particle":"","family":"Kasedde","given":"Susan","non-dropping-particle":"","parse-names":false,"suffix":""},{"dropping-particle":"","family":"Luo","given":"Chewe","non-dropping-particle":"","parse-names":false,"suffix":""}],"container-title":"Journal of Acquired Immune Deficiency Syndromes","id":"ITEM-1","issue":"SUPPL. 2","issued":{"date-parts":[["2014"]]},"title":"Epidemiology of HIV and AIDS among adolescents: Current status, inequities, and data gaps","type":"article-journal","volume":"66"},"uris":["http://www.mendeley.com/documents/?uuid=0d2a5b21-6814-46f7-a43e-d1cd5cf71478"]}],"mendeley":{"formattedCitation":"[6]","plainTextFormattedCitation":"[6]","previouslyFormattedCitation":"[6]"},"properties":{"noteIndex":0},"schema":"https://github.com/citation-style-language/schema/raw/master/csl-citation.json"}</w:instrText>
      </w:r>
      <w:r w:rsidR="00552A9C">
        <w:fldChar w:fldCharType="separate"/>
      </w:r>
      <w:r w:rsidR="00552A9C" w:rsidRPr="00552A9C">
        <w:rPr>
          <w:noProof/>
        </w:rPr>
        <w:t>[6]</w:t>
      </w:r>
      <w:r w:rsidR="00552A9C">
        <w:fldChar w:fldCharType="end"/>
      </w:r>
      <w:r w:rsidR="00552A9C">
        <w:t xml:space="preserve">. </w:t>
      </w:r>
    </w:p>
    <w:p w14:paraId="55109102" w14:textId="67B53E84" w:rsidR="00552A9C" w:rsidRDefault="00B1792D" w:rsidP="00552A9C">
      <w:pPr>
        <w:autoSpaceDE w:val="0"/>
        <w:autoSpaceDN w:val="0"/>
        <w:adjustRightInd w:val="0"/>
        <w:ind w:firstLine="720"/>
        <w:jc w:val="both"/>
      </w:pPr>
      <w:r w:rsidRPr="00B1792D">
        <w:t xml:space="preserve">Information and knowledge of adolescents about reproductive health and sexuality is crucial to strengthen the ability of adolescents to improve their health in the aspect of reproductive health </w:t>
      </w:r>
      <w:r w:rsidR="00552A9C">
        <w:fldChar w:fldCharType="begin" w:fldLock="1"/>
      </w:r>
      <w:r w:rsidR="00E30FA5">
        <w:instrText>ADDIN CSL_CITATION {"citationItems":[{"id":"ITEM-1","itemData":{"DOI":"10.1016/j.ijgo.2015.02.006","ISSN":"18793479","PMID":"26433504","abstract":"Adolescent sexual and reproductive health (ASRH) has been overlooked historically despite the high risks that countries face for its neglect. Some of the challenges faced by adolescents across the world include early pregnancy and parenthood, difficulties accessing contraception and safe abortion, and high rates of HIV and sexually transmitted infections. Various political, economic, and sociocultural factors restrict the delivery of information and services; healthcare workers often act as a barrier to care by failing to provide young people with supportive, nonjudgmental, youth-appropriate services. FIGO has been working with partners and its member associations to break some of these barriers - enabling obstetricians and gynecologists to effect change in their countries and promote the ASRH agenda on a global scale.","author":[{"dropping-particle":"","family":"Morris","given":"Jessica L.","non-dropping-particle":"","parse-names":false,"suffix":""},{"dropping-particle":"","family":"Rushwan","given":"Hamid","non-dropping-particle":"","parse-names":false,"suffix":""}],"container-title":"International Journal of Gynecology and Obstetrics","id":"ITEM-1","issued":{"date-parts":[["2015"]]},"page":"S40-S42","publisher":"Elsevier B.V.","title":"Adolescent sexual and reproductive health: The global challenges","type":"article-journal","volume":"131"},"uris":["http://www.mendeley.com/documents/?uuid=5c4ee1ec-59c8-4faa-a28c-7604a17f3d96"]}],"mendeley":{"formattedCitation":"[8]","plainTextFormattedCitation":"[8]","previouslyFormattedCitation":"[8]"},"properties":{"noteIndex":0},"schema":"https://github.com/citation-style-language/schema/raw/master/csl-citation.json"}</w:instrText>
      </w:r>
      <w:r w:rsidR="00552A9C">
        <w:fldChar w:fldCharType="separate"/>
      </w:r>
      <w:r w:rsidR="00552A9C" w:rsidRPr="00552A9C">
        <w:rPr>
          <w:noProof/>
        </w:rPr>
        <w:t>[8]</w:t>
      </w:r>
      <w:r w:rsidR="00552A9C">
        <w:fldChar w:fldCharType="end"/>
      </w:r>
      <w:r w:rsidR="00552A9C">
        <w:t xml:space="preserve">. </w:t>
      </w:r>
      <w:r w:rsidRPr="00B1792D">
        <w:t xml:space="preserve">Research in Myanmar shows that the majority of adolescents have low knowledge of reproductive health so that parental involvement is needed to convey reproductive health information to adolescents </w:t>
      </w:r>
      <w:r w:rsidR="00552A9C">
        <w:fldChar w:fldCharType="begin" w:fldLock="1"/>
      </w:r>
      <w:r w:rsidR="00E30FA5">
        <w:instrText>ADDIN CSL_CITATION {"citationItems":[{"id":"ITEM-1","itemData":{"DOI":"10.3329/seajph.v1i1.13219","ISSN":"2220-9476","abstract":"Adolescence is a transitional period and an important stage in an individual's life. Adolescents are at risk of adverse reproductive health outcomes such as unplanned or unwanted pregnancy, unsafe abortions, maternal health complications, and sexually transmitted diseases (STDs) including HIV/AIDS. Previous studies indicate that adolescents whose parents talk to them about sex tend to be less sexually active and more likely to use an effective means of contraception. The objective of the study was to find out the level and content of communication between adolescents and their parents. Ease of communication, future intentions to discuss with parents and confidence in parents' knowledge of reproductive health were also examined. A cross sectional descriptive study using structured questionnaire was conducted among 91 adolescents (11-19 years old) in North Okkalapa Township of Yangon Division, Myanmar. The majority of the people there had little knowledge on pubertal changes and STDs, and moderate knowledge on contraception. Sixty three percent of adolescents communicated at least once with their parents on reproductive health within the last 6 months: 6.8% with fathers and 62.6% with mothers. Only 15.4% talked more than three times. Girls were more likely to communicate with mothers than boys (79% vs. 33%, P&lt;0.001). The main topic of discussion among mother and girls is menstruation, and among mothers and boys, HIV/AIDS/STDs are mainly discussed. Regarding the ease of communication, only 15% felt comfortable talking with parents. Most of the adolescents (89%) had positive attitude towards communicating with their parents. The findings suggest the need to involve parents in existing adolescent reproductive health programs and design interventions focusing on parents to promote parent-adolescent communication. DOI: http://dx.doi.org/10.3329/seajph.v1i1.13219 South East Asia Journal of Public Health 2011:1:40-45","author":[{"dropping-particle":"","family":"Oo","given":"Yin Thet Nu","non-dropping-particle":"","parse-names":false,"suffix":""},{"dropping-particle":"","family":"Zaw","given":"Ko Ko","non-dropping-particle":"","parse-names":false,"suffix":""},{"dropping-particle":"","family":"Than","given":"Kyu Kyu","non-dropping-particle":"","parse-names":false,"suffix":""},{"dropping-particle":"","family":"Mg","given":"The Mg","non-dropping-particle":"","parse-names":false,"suffix":""},{"dropping-particle":"","family":"Mar","given":"Kyi Kyi","non-dropping-particle":"","parse-names":false,"suffix":""},{"dropping-particle":"","family":"Aye","given":"San San","non-dropping-particle":"","parse-names":false,"suffix":""}],"container-title":"South East Asia Journal of Public Health","id":"ITEM-1","issue":"1","issued":{"date-parts":[["2013"]]},"page":"40-45","title":"Do parents and adolescents talk about reproductive health? Myanmar adolescents' perspective","type":"article-journal","volume":"1"},"uris":["http://www.mendeley.com/documents/?uuid=c016da45-b868-4667-b737-62754240d659"]}],"mendeley":{"formattedCitation":"[9]","plainTextFormattedCitation":"[9]","previouslyFormattedCitation":"[9]"},"properties":{"noteIndex":0},"schema":"https://github.com/citation-style-language/schema/raw/master/csl-citation.json"}</w:instrText>
      </w:r>
      <w:r w:rsidR="00552A9C">
        <w:fldChar w:fldCharType="separate"/>
      </w:r>
      <w:r w:rsidR="00552A9C" w:rsidRPr="00552A9C">
        <w:rPr>
          <w:noProof/>
        </w:rPr>
        <w:t>[9]</w:t>
      </w:r>
      <w:r w:rsidR="00552A9C">
        <w:fldChar w:fldCharType="end"/>
      </w:r>
      <w:r w:rsidR="00552A9C">
        <w:t xml:space="preserve">. </w:t>
      </w:r>
      <w:r w:rsidRPr="00B1792D">
        <w:t>Parents are the right party because parents are one of the sources of information and the closest party to teenagers. Therefore, parents can be a source of reproductive health information to adolescents</w:t>
      </w:r>
      <w:r w:rsidR="00F43C95">
        <w:t xml:space="preserve"> </w:t>
      </w:r>
      <w:r w:rsidR="00F43C95">
        <w:fldChar w:fldCharType="begin" w:fldLock="1"/>
      </w:r>
      <w:r w:rsidR="00DD0028">
        <w:instrText>ADDIN CSL_CITATION {"citationItems":[{"id":"ITEM-1","itemData":{"DOI":"10.26655/JMCHEMSCI.2021.2.8","author":[{"dropping-particle":"","family":"Kusumaningrum","given":"Tanjung Anitasari Indah","non-dropping-particle":"","parse-names":false,"suffix":""},{"dropping-particle":"","family":"Rohmawaty","given":"Novida","non-dropping-particle":"","parse-names":false,"suffix":""},{"dropping-particle":"","family":"Selena","given":"Hestia","non-dropping-particle":"","parse-names":false,"suffix":""}],"container-title":"Journal of Medicinal and Chemical Sciences","id":"ITEM-1","issued":{"date-parts":[["2021"]]},"page":"172-182","title":"Reproductive Health Information from Parents : A Dominant Factor of Voluntary Counselling and Testing ( VCT ) HIV Intention on Adolescents","type":"article-journal","volume":"4"},"uris":["http://www.mendeley.com/documents/?uuid=6499814e-23e1-4feb-9ba6-08dbc6e915be"]}],"mendeley":{"formattedCitation":"[10]","plainTextFormattedCitation":"[10]","previouslyFormattedCitation":"[10]"},"properties":{"noteIndex":0},"schema":"https://github.com/citation-style-language/schema/raw/master/csl-citation.json"}</w:instrText>
      </w:r>
      <w:r w:rsidR="00F43C95">
        <w:fldChar w:fldCharType="separate"/>
      </w:r>
      <w:r w:rsidR="00F43C95" w:rsidRPr="00F43C95">
        <w:rPr>
          <w:noProof/>
        </w:rPr>
        <w:t>[10]</w:t>
      </w:r>
      <w:r w:rsidR="00F43C95">
        <w:fldChar w:fldCharType="end"/>
      </w:r>
      <w:r w:rsidR="00F43C95">
        <w:t xml:space="preserve">. </w:t>
      </w:r>
      <w:r w:rsidRPr="00B1792D">
        <w:t xml:space="preserve">The provision of reproductive health information from parents can increase the ability of adolescents to prevent premarital sexual behavior by providing information on the impact of reproductive health, sexually transmitted infections, and the impact of teenage pregnancy </w:t>
      </w:r>
      <w:r w:rsidR="00552A9C">
        <w:fldChar w:fldCharType="begin" w:fldLock="1"/>
      </w:r>
      <w:r w:rsidR="00DD0028">
        <w:instrText>ADDIN CSL_CITATION {"citationItems":[{"id":"ITEM-1","itemData":{"DOI":"10.1001/jamapediatrics.2019.2324","ISSN":"21686203","PMID":"31355860","abstract":"Importance: Parent-based sexual health interventions have received considerable attention as one factor that can increase safer sexual behavior among youth; however, to our knowledge, the evidence linking parent-based interventions to youth sexual behaviors has not been empirically synthesized. Objective: To examine the association of parent-based sexual health interventions with 3 primary youth outcomes - delayed sexual activity, condom use, and parent-child sexual communication - as well as several secondary outcomes. We also explored potential moderators of intervention effectiveness. Data Sources: A systematic search was conducted of studies published through March 2018 using MEDLINE, PsycINFO, Communication Source, and CINAHL databases and relevant review articles. Study Selection: Studies were included if they: (1) sampled adolescents (mean age, ≤18 years), (2) included parents in a key intervention component, (3) evaluated program effects with experimental/quasi-experimental designs, (4) included an adolescent-reported behavioral outcome, (5) consisted of a US-based sample, and (6) were published in English. Data Extraction and Synthesis: Standardized mean difference (d) and 95% confidence intervals were computed from studies and meta-analyzed using random-effects models. A secondary analysis evaluated potential moderating variables. Main Outcomes and Measures: The primary outcomes were delayed sexual activity, condom use, and sexual communication. Results: Independent findings from 31 articles reporting on 12464 adolescents (mean age = 12.3 years) were synthesized. Across studies, there was a significant association of parent-based interventions with improved condom use (d = 0.32; 95% CI, 0.13-0.51; P =.001) and parent-child sexual communication (d = 0.27; 95% CI, 0.19-0.35; P =.001). No significant differences between parent-based interventions and control programs were found for delaying sexual activity (d = -0.06; 95% CI, -0.14 to 0.02; P =.16). The associations for condom use were heterogeneous. Moderation analyses revealed larger associations for interventions that focused on younger, compared with older, adolescents; targeted black or Hispanic youth compared with mixed race/ethnicity samples; targeted parents and teens equally compared with emphasizing parents only; and included a program dose of 10 hours or more compared with a lower dose. Conclusions and Relevance: Parent-based sexual health programs can promote safer sex behavior and co…","author":[{"dropping-particle":"","family":"Widman","given":"Laura","non-dropping-particle":"","parse-names":false,"suffix":""},{"dropping-particle":"","family":"Evans","given":"Reina","non-dropping-particle":"","parse-names":false,"suffix":""},{"dropping-particle":"","family":"Javidi","given":"Hannah","non-dropping-particle":"","parse-names":false,"suffix":""},{"dropping-particle":"","family":"Choukas-Bradley","given":"Sophia","non-dropping-particle":"","parse-names":false,"suffix":""}],"container-title":"JAMA Pediatrics","id":"ITEM-1","issue":"9","issued":{"date-parts":[["2019"]]},"page":"866-877","title":"Assessment of Parent-Based Interventions for Adolescent Sexual Health: A Systematic Review and Meta-analysis","type":"article-journal","volume":"173"},"uris":["http://www.mendeley.com/documents/?uuid=826856f9-ce65-4506-92c3-4cc28ee1fe75"]}],"mendeley":{"formattedCitation":"[11]","plainTextFormattedCitation":"[11]","previouslyFormattedCitation":"[11]"},"properties":{"noteIndex":0},"schema":"https://github.com/citation-style-language/schema/raw/master/csl-citation.json"}</w:instrText>
      </w:r>
      <w:r w:rsidR="00552A9C">
        <w:fldChar w:fldCharType="separate"/>
      </w:r>
      <w:r w:rsidR="00F43C95" w:rsidRPr="00F43C95">
        <w:rPr>
          <w:noProof/>
        </w:rPr>
        <w:t>[11]</w:t>
      </w:r>
      <w:r w:rsidR="00552A9C">
        <w:fldChar w:fldCharType="end"/>
      </w:r>
      <w:r w:rsidR="002346BC">
        <w:t xml:space="preserve">, </w:t>
      </w:r>
      <w:r w:rsidR="00E30F2C">
        <w:fldChar w:fldCharType="begin" w:fldLock="1"/>
      </w:r>
      <w:r w:rsidR="00DD0028">
        <w:instrText>ADDIN CSL_CITATION {"citationItems":[{"id":"ITEM-1","itemData":{"DOI":"10.31101/jhtam.1312","ISSN":"2620-8423","abstract":"Adolescent pregnancy is defined as a pregnancy between the ages of 13-19 years, adolescent pregnancy occurs around 25% of women worldwide, but this number continues to decline due to educational support, contraception and prevention strategies for adolescent pregnancy. Evidence shows that there were programme interventions to reduce adolescent pregnancy such as encouraging people to participate in comprehensive prevention of adolescent pregnancy programs and health campaign to avoid unsafe sexual relationships. This scoping review was aimed to map out available evidence related to the parents’ involvement and barriers of programme intervention to reduce adolescent pregnancy. This scoping review followed the framework of Arksey and O'Malley, which consists of identifying the review questions; look for relevant evidence; selecting relevant studies; maping the data; and medicate, conclude and report results. PRISMA flowchart was used to display the evidence search flow. The results of the review indicated that there were 12 included articles from the search process. This review emerged 3 themes: efforts to reduce adolescent pregnancy rates, support for adolescent reproductive health services, barriers to reproductive health services for adolescents. It is important encouragage people to participate in comprehensive adolescent pregnancy prevention programs in including provision of information about the dangers of adolescents’ pregnancy, reproductive health, and maintain positive relationship with the family.","author":[{"dropping-particle":"","family":"Cahyaningtyas","given":"Dwi Kartika","non-dropping-particle":"","parse-names":false,"suffix":""},{"dropping-particle":"","family":"Astuti","given":"Andari Wuri","non-dropping-particle":"","parse-names":false,"suffix":""},{"dropping-particle":"","family":"Hani","given":"Umu","non-dropping-particle":"","parse-names":false,"suffix":""}],"container-title":"Journal of Health Technology Assessment in Midwifery","id":"ITEM-1","issue":"2","issued":{"date-parts":[["2020"]]},"page":"73-86","title":"Parents involvement and barriers of programme interventions to reduce adolescent pregnancy","type":"article-journal","volume":"3"},"uris":["http://www.mendeley.com/documents/?uuid=193bad26-1f51-4f1e-97cb-4b207edacf40"]}],"mendeley":{"formattedCitation":"[12]","plainTextFormattedCitation":"[12]","previouslyFormattedCitation":"[12]"},"properties":{"noteIndex":0},"schema":"https://github.com/citation-style-language/schema/raw/master/csl-citation.json"}</w:instrText>
      </w:r>
      <w:r w:rsidR="00E30F2C">
        <w:fldChar w:fldCharType="separate"/>
      </w:r>
      <w:r w:rsidR="00F43C95" w:rsidRPr="00F43C95">
        <w:rPr>
          <w:noProof/>
        </w:rPr>
        <w:t>[12]</w:t>
      </w:r>
      <w:r w:rsidR="00E30F2C">
        <w:fldChar w:fldCharType="end"/>
      </w:r>
      <w:r w:rsidR="00552A9C">
        <w:t xml:space="preserve">. </w:t>
      </w:r>
    </w:p>
    <w:p w14:paraId="2EFFCF69" w14:textId="2F2C3DF9" w:rsidR="0073644F" w:rsidRDefault="00B1792D" w:rsidP="00552A9C">
      <w:pPr>
        <w:autoSpaceDE w:val="0"/>
        <w:autoSpaceDN w:val="0"/>
        <w:adjustRightInd w:val="0"/>
        <w:ind w:firstLine="720"/>
        <w:jc w:val="both"/>
      </w:pPr>
      <w:r w:rsidRPr="00B1792D">
        <w:t xml:space="preserve">In practice, there are still many parents who have not communicated reproductive health and sexuality to adolescents </w:t>
      </w:r>
      <w:r w:rsidR="00552A9C">
        <w:fldChar w:fldCharType="begin" w:fldLock="1"/>
      </w:r>
      <w:r w:rsidR="00DD0028">
        <w:instrText>ADDIN CSL_CITATION {"citationItems":[{"id":"ITEM-1","itemData":{"DOI":"10.4102/phcfm.v12i1.2437","ISSN":"20712936","PMID":"33181882","abstract":"BACKGROUND: Adolescent-parent communication about sexual issues is a challenging issue worldwide. In The Gambia, many traditional communities limit such communication and this can have an adverse influence on sexual and reproductive health (SRH) outcomes and behaviours in adolescents. AIM: The study assessed adolescent-parent communication on selected SRH issues amongst secondary school students. SETTING: The study was conducted in selected secondary schools in Western Region 1 of The Gambia. METHODS: This descriptive cross-sectional study utilised mixed methods. For the questionnaire survey, secondary school students were selected using a multistage sampling technique whilst parents for focus group discussions were purposively selected. RESULTS: A total of 600 adolescents and 48 parents were studied. Only 360 (60.0%) of the students had heard of SRH. One-third (67.3%) knew about sexually transmitted infection (STIs) such as human immunodeficiency virus and acquired immunodeficiency syndrome (56.5%), gonorrhoea (40.5%) and syphilis (2.5%). Social media (31.0%) were the predominant source of information regarding SRH issues, followed by television (22.0%), school (14.0%) and parents (9.0%). Half (50.8%) of the adolescents discussed sexual intercourse with their parents - mostly with their mothers. Parental and cultural factors, fear, shyness and ignorance were the main reasons why adolescents did not discuss specific SRH issues with their parents. CONCLUSION: This study showed that adolescent-parent communication on SRH issues was poor. Programmes supporting parents to effectively communicate SRH matters with their children should be designed and implemented.","author":[{"dropping-particle":"","family":"Sagnia","given":"Phebian I.G.","non-dropping-particle":"","parse-names":false,"suffix":""},{"dropping-particle":"","family":"Gharoro","given":"Etadafe P.","non-dropping-particle":"","parse-names":false,"suffix":""},{"dropping-particle":"","family":"Isara","given":"Alphonsus R.","non-dropping-particle":"","parse-names":false,"suffix":""}],"container-title":"African journal of primary health care &amp; family medicine","id":"ITEM-1","issue":"1","issued":{"date-parts":[["2020"]]},"page":"1-7","title":"Adolescent-parent communication on sexual and reproductive health issues amongst secondary school students in Western Region 1 of The Gambia","type":"article-journal","volume":"12"},"uris":["http://www.mendeley.com/documents/?uuid=6f9c74fc-f3ce-490a-ab65-2e364f83d2a4"]}],"mendeley":{"formattedCitation":"[13]","plainTextFormattedCitation":"[13]","previouslyFormattedCitation":"[13]"},"properties":{"noteIndex":0},"schema":"https://github.com/citation-style-language/schema/raw/master/csl-citation.json"}</w:instrText>
      </w:r>
      <w:r w:rsidR="00552A9C">
        <w:fldChar w:fldCharType="separate"/>
      </w:r>
      <w:r w:rsidR="00F43C95" w:rsidRPr="00F43C95">
        <w:rPr>
          <w:noProof/>
        </w:rPr>
        <w:t>[13]</w:t>
      </w:r>
      <w:r w:rsidR="00552A9C">
        <w:fldChar w:fldCharType="end"/>
      </w:r>
      <w:r w:rsidR="00552A9C">
        <w:t xml:space="preserve">. </w:t>
      </w:r>
      <w:r w:rsidRPr="00B1792D">
        <w:t>Research conducted in Indonesia stated that the provision of reproductive health information from parents to adolescents has several obstacles, whether it is still considered taboo on reproductive health information, lack of parental knowledge, and shyness to discuss reproductive health topics</w:t>
      </w:r>
      <w:r w:rsidR="002346BC">
        <w:t xml:space="preserve"> </w:t>
      </w:r>
      <w:r w:rsidR="002346BC">
        <w:fldChar w:fldCharType="begin" w:fldLock="1"/>
      </w:r>
      <w:r w:rsidR="00DD0028">
        <w:instrText>ADDIN CSL_CITATION {"citationItems":[{"id":"ITEM-1","itemData":{"DOI":"10.31101/jhtam.1312","ISSN":"2620-8423","abstract":"Adolescent pregnancy is defined as a pregnancy between the ages of 13-19 years, adolescent pregnancy occurs around 25% of women worldwide, but this number continues to decline due to educational support, contraception and prevention strategies for adolescent pregnancy. Evidence shows that there were programme interventions to reduce adolescent pregnancy such as encouraging people to participate in comprehensive prevention of adolescent pregnancy programs and health campaign to avoid unsafe sexual relationships. This scoping review was aimed to map out available evidence related to the parents’ involvement and barriers of programme intervention to reduce adolescent pregnancy. This scoping review followed the framework of Arksey and O'Malley, which consists of identifying the review questions; look for relevant evidence; selecting relevant studies; maping the data; and medicate, conclude and report results. PRISMA flowchart was used to display the evidence search flow. The results of the review indicated that there were 12 included articles from the search process. This review emerged 3 themes: efforts to reduce adolescent pregnancy rates, support for adolescent reproductive health services, barriers to reproductive health services for adolescents. It is important encouragage people to participate in comprehensive adolescent pregnancy prevention programs in including provision of information about the dangers of adolescents’ pregnancy, reproductive health, and maintain positive relationship with the family.","author":[{"dropping-particle":"","family":"Cahyaningtyas","given":"Dwi Kartika","non-dropping-particle":"","parse-names":false,"suffix":""},{"dropping-particle":"","family":"Astuti","given":"Andari Wuri","non-dropping-particle":"","parse-names":false,"suffix":""},{"dropping-particle":"","family":"Hani","given":"Umu","non-dropping-particle":"","parse-names":false,"suffix":""}],"container-title":"Journal of Health Technology Assessment in Midwifery","id":"ITEM-1","issue":"2","issued":{"date-parts":[["2020"]]},"page":"73-86","title":"Parents involvement and barriers of programme interventions to reduce adolescent pregnancy","type":"article-journal","volume":"3"},"uris":["http://www.mendeley.com/documents/?uuid=193bad26-1f51-4f1e-97cb-4b207edacf40"]},{"id":"ITEM-2","itemData":{"DOI":"10.22219/jk.v10i2.8063","ISSN":"2086-3071","abstract":"ABSTRACTIntroduction: In adolescence, there are various changes, both physical, cognitive, and social, which cause adolescents vulnerable to reproductive health problems. The family as the closest part of adolescence is one of the main factors in improving adolescent reproductive health and has a very important role in providing sexual and reproductive health information to adolescents. Objective: to find out the communication between parents and teenagers about sexual and reproductive health. Method: The design used is a systematic review. Journal searches are conducted on online databases such as PubMed, Elsevier, Science Direct, and Google Scholar. Journals, articles, and literature reviews were found using keywords parent-adolescent communication, sexual and reproductive health, adolescents. Results: A total of 7 journal articles selected from 28 articles showed that communication between parents and adolescents regarding reproductive and sexual health was very important to do. However, the implementation is still lacking due to various factors such as lack of parental knowledge, parents lacking in communication skills, the presence of shame, and cultural influences that consider reproductive and sexual health issues as taboo to be discussed with adolescents. Discussion: The communication of parents and adolescents regarding reproductive and sexual health has been widely investigated in various countries. Interventions are needed to improve the quality of communication between parents and adolescents through increasing the knowledge of parents of these adolescents. ","author":[{"dropping-particle":"","family":"Febriana","given":"Annisa","non-dropping-particle":"","parse-names":false,"suffix":""},{"dropping-particle":"","family":"Mulyono","given":"Sigit","non-dropping-particle":"","parse-names":false,"suffix":""}],"container-title":"Jurnal Keperawatan","id":"ITEM-2","issue":"2","issued":{"date-parts":[["2020"]]},"page":"81-85","title":"Parent-Adolescent Communication On Reproductive Health and Sexual Of Adolescent","type":"article-journal","volume":"10"},"uris":["http://www.mendeley.com/documents/?uuid=756eb774-c254-4b4c-a3bd-7cd9a9a07e39"]}],"mendeley":{"formattedCitation":"[12], [14]","plainTextFormattedCitation":"[12], [14]","previouslyFormattedCitation":"[12], [14]"},"properties":{"noteIndex":0},"schema":"https://github.com/citation-style-language/schema/raw/master/csl-citation.json"}</w:instrText>
      </w:r>
      <w:r w:rsidR="002346BC">
        <w:fldChar w:fldCharType="separate"/>
      </w:r>
      <w:r w:rsidR="00F43C95" w:rsidRPr="00F43C95">
        <w:rPr>
          <w:noProof/>
        </w:rPr>
        <w:t>[12], [14]</w:t>
      </w:r>
      <w:r w:rsidR="002346BC">
        <w:fldChar w:fldCharType="end"/>
      </w:r>
      <w:r w:rsidR="00552A9C">
        <w:t xml:space="preserve">. </w:t>
      </w:r>
      <w:r w:rsidRPr="00B1792D">
        <w:t>Parents are also still not confident in providing reproductive health information to teenagers</w:t>
      </w:r>
      <w:r w:rsidR="001030ED">
        <w:t xml:space="preserve"> </w:t>
      </w:r>
      <w:r w:rsidR="001030ED">
        <w:fldChar w:fldCharType="begin" w:fldLock="1"/>
      </w:r>
      <w:r w:rsidR="00DD0028">
        <w:instrText>ADDIN CSL_CITATION {"citationItems":[{"id":"ITEM-1","itemData":{"DOI":"10.22219/jk.v10i2.8063","ISSN":"2086-3071","abstract":"ABSTRACTIntroduction: In adolescence, there are various changes, both physical, cognitive, and social, which cause adolescents vulnerable to reproductive health problems. The family as the closest part of adolescence is one of the main factors in improving adolescent reproductive health and has a very important role in providing sexual and reproductive health information to adolescents. Objective: to find out the communication between parents and teenagers about sexual and reproductive health. Method: The design used is a systematic review. Journal searches are conducted on online databases such as PubMed, Elsevier, Science Direct, and Google Scholar. Journals, articles, and literature reviews were found using keywords parent-adolescent communication, sexual and reproductive health, adolescents. Results: A total of 7 journal articles selected from 28 articles showed that communication between parents and adolescents regarding reproductive and sexual health was very important to do. However, the implementation is still lacking due to various factors such as lack of parental knowledge, parents lacking in communication skills, the presence of shame, and cultural influences that consider reproductive and sexual health issues as taboo to be discussed with adolescents. Discussion: The communication of parents and adolescents regarding reproductive and sexual health has been widely investigated in various countries. Interventions are needed to improve the quality of communication between parents and adolescents through increasing the knowledge of parents of these adolescents. ","author":[{"dropping-particle":"","family":"Febriana","given":"Annisa","non-dropping-particle":"","parse-names":false,"suffix":""},{"dropping-particle":"","family":"Mulyono","given":"Sigit","non-dropping-particle":"","parse-names":false,"suffix":""}],"container-title":"Jurnal Keperawatan","id":"ITEM-1","issue":"2","issued":{"date-parts":[["2020"]]},"page":"81-85","title":"Parent-Adolescent Communication On Reproductive Health and Sexual Of Adolescent","type":"article-journal","volume":"10"},"uris":["http://www.mendeley.com/documents/?uuid=756eb774-c254-4b4c-a3bd-7cd9a9a07e39"]},{"id":"ITEM-2","itemData":{"DOI":"10.1080/26410397.2020.1758444","ISSN":"26410397","PMID":"32425136","abstract":"Young people throughout the world face considerable challenges related to their sexual and reproductive health (SRH). The parent–child relationship is fundamental to shaping children’s trajectories through adolescence and suggests considerable potential to improve youth SRH knowledge. Lack of parent–child sexual communication (PCSC) may cause youth to turn instead to questionable information sources, such as peers, the internet and social media. The limited research in this area, and specifically in the Middle East, led us to explore how parents discuss SRH issues with their children and pinpointed the potential role for parents in supporting their children’s SRH needs. A qualitative research approach was used, with 20 focus groups stratified by nationality and sex of participants from four major communities in Jordan. Thematic coding and analysis was used. Parents described their willingness to “break the culture of shame.” Three primary strategies emerged: (1) the gender match, (2) mothers as a safe space and (3) seeking help from others, which included two sub-themes: incorporating others, and relying on the delivery of SRH information in schools. Strengths and challenges were inherent within each strategy, and discussion topics varied according to the strategy used. Evidence from this study provides an opportunity for future research and programming to improve adolescent health outcomes within conservative milieus to break the intergenerational cycle of shame. Interventions are suggested to target parents’ knowledge and self-confidence to help youth achieve their sexual development. Using gender-matched PCSC strategies, school-based platforms and religious institutions are ways to destigmatise such topics.","author":[{"dropping-particle":"","family":"Othman","given":"Areej","non-dropping-particle":"","parse-names":false,"suffix":""},{"dropping-particle":"","family":"Shaheen","given":"Abeer","non-dropping-particle":"","parse-names":false,"suffix":""},{"dropping-particle":"","family":"Otoum","given":"Maysoon","non-dropping-particle":"","parse-names":false,"suffix":""},{"dropping-particle":"","family":"Aldiqs","given":"Mohannad","non-dropping-particle":"","parse-names":false,"suffix":""},{"dropping-particle":"","family":"Hamad","given":"Iqbal","non-dropping-particle":"","parse-names":false,"suffix":""},{"dropping-particle":"","family":"Dabobe","given":"Maysoon","non-dropping-particle":"","parse-names":false,"suffix":""},{"dropping-particle":"","family":"Langer","given":"Ana","non-dropping-particle":"","parse-names":false,"suffix":""},{"dropping-particle":"","family":"Gausman","given":"Jewel","non-dropping-particle":"","parse-names":false,"suffix":""}],"container-title":"Sexual and Reproductive Health Matters","id":"ITEM-2","issue":"1","issued":{"date-parts":[["2020"]]},"publisher":"Taylor &amp; Francis","title":"Parent–child communication about sexual and reproductive health: perspectives of Jordanian and Syrian parents","type":"article-journal","volume":"28"},"uris":["http://www.mendeley.com/documents/?uuid=f810919b-2edb-4806-bc82-7bc25bccd592"]}],"mendeley":{"formattedCitation":"[14], [15]","plainTextFormattedCitation":"[14], [15]","previouslyFormattedCitation":"[14], [15]"},"properties":{"noteIndex":0},"schema":"https://github.com/citation-style-language/schema/raw/master/csl-citation.json"}</w:instrText>
      </w:r>
      <w:r w:rsidR="001030ED">
        <w:fldChar w:fldCharType="separate"/>
      </w:r>
      <w:r w:rsidR="00F43C95" w:rsidRPr="00F43C95">
        <w:rPr>
          <w:noProof/>
        </w:rPr>
        <w:t>[14], [15]</w:t>
      </w:r>
      <w:r w:rsidR="001030ED">
        <w:fldChar w:fldCharType="end"/>
      </w:r>
      <w:r w:rsidR="00552A9C">
        <w:t xml:space="preserve">. </w:t>
      </w:r>
      <w:r w:rsidRPr="00B1792D">
        <w:t>Parents' confidence in communicating reproductive health to adolescents will have an impact on parents' desire to discuss reproductive health with adolescents</w:t>
      </w:r>
      <w:r w:rsidR="00552A9C">
        <w:t xml:space="preserve">. </w:t>
      </w:r>
    </w:p>
    <w:p w14:paraId="7797DB6E" w14:textId="596D89A4" w:rsidR="00552A9C" w:rsidRPr="00816709" w:rsidRDefault="00B1792D" w:rsidP="00552A9C">
      <w:pPr>
        <w:autoSpaceDE w:val="0"/>
        <w:autoSpaceDN w:val="0"/>
        <w:adjustRightInd w:val="0"/>
        <w:ind w:firstLine="720"/>
        <w:jc w:val="both"/>
      </w:pPr>
      <w:r w:rsidRPr="00B1792D">
        <w:t xml:space="preserve">The desire of parents to communicate with adolescents about reproductive health is also influenced by the obstacles felt by parents. Parents feel embarrassed to talk about reproductive health topics. Parents also think that their teenage children are too young to discuss reproductive health. A less supportive environment such as the lack of support from people around both from partners and the community which is still lacking also makes parents not provide reproductive health information to adolescents </w:t>
      </w:r>
      <w:r w:rsidR="007B565D">
        <w:fldChar w:fldCharType="begin" w:fldLock="1"/>
      </w:r>
      <w:r w:rsidR="00DD0028">
        <w:instrText>ADDIN CSL_CITATION {"citationItems":[{"id":"ITEM-1","itemData":{"DOI":"10.11604/pamj.2016.25.120.9208","ISBN":"2014001529","ISSN":"19378688","PMID":"28292083","abstract":"Introduction: communication between parents and adolescents regarding sexuality is an important reproductive health topic. Due to complexities associated with adolescent’s physiological development, sexuality should be dealt with holistically. This study aimed to investigate factors affecting effective communication between parents and adolescents concerning sexual and reproductive health issues. Methods: an exploratory qualitative study using the focus group discussions method was done to explore amongst other things; social, cultural and religious barriers to communication. Thematic content analysis was done. Results: factors identified included: embarrassment when discussing sexual topics; adolescent misperceptions that guardians want to engage in sexual activities with them; strong belief amongst guardians that reproductive health discussions with adolescents encourages sexual experimentation; belief that adolescents were too young to understand; non-conducive environment for open discussions of sexual and reproductive health matters; cultural and religious beliefs. Conclusion: in view of these findings, there are still barriers in terms of parent-adolescent engagement on issues related to risks associated with sexual behaviours and erroneous reproductive health choices among adolescents. Therefore, there is a need to encourage engagement by creating neutral platforms facilitated by community healthcare providers and/ or social workers. This will help create awareness and bridge the communication and interaction gap by emphasising the importance of effective engagement among adolescents and their parents on matters related to risks associated with sexual behaviours and erroneous reproductive health choices. Post implantation intervention studies are needed to inform on the outcomes of the intervention.","author":[{"dropping-particle":"","family":"Motsomi","given":"Kegaugetswe","non-dropping-particle":"","parse-names":false,"suffix":""},{"dropping-particle":"","family":"Makanjee","given":"Chandra","non-dropping-particle":"","parse-names":false,"suffix":""},{"dropping-particle":"","family":"Basera","given":"Tariro","non-dropping-particle":"","parse-names":false,"suffix":""},{"dropping-particle":"","family":"Nyasulu","given":"Peter","non-dropping-particle":"","parse-names":false,"suffix":""}],"container-title":"Pan African Medical Journal","id":"ITEM-1","issued":{"date-parts":[["2016"]]},"page":"1-7","title":"Factors affecting effective communication about sexual and reproductive health issues between parents and adolescents in zandspruit informal settlement, Johannesburg, South Africa","type":"article-journal","volume":"25"},"uris":["http://www.mendeley.com/documents/?uuid=da92e7a0-fbc9-4487-ad5a-4c82e22b68d3"]}],"mendeley":{"formattedCitation":"[16]","plainTextFormattedCitation":"[16]","previouslyFormattedCitation":"[16]"},"properties":{"noteIndex":0},"schema":"https://github.com/citation-style-language/schema/raw/master/csl-citation.json"}</w:instrText>
      </w:r>
      <w:r w:rsidR="007B565D">
        <w:fldChar w:fldCharType="separate"/>
      </w:r>
      <w:r w:rsidR="00F43C95" w:rsidRPr="00F43C95">
        <w:rPr>
          <w:noProof/>
        </w:rPr>
        <w:t>[16]</w:t>
      </w:r>
      <w:r w:rsidR="007B565D">
        <w:fldChar w:fldCharType="end"/>
      </w:r>
      <w:r w:rsidR="0073644F">
        <w:t xml:space="preserve">. </w:t>
      </w:r>
      <w:r w:rsidRPr="00B1792D">
        <w:t xml:space="preserve">Research on reproductive health education from parents to adolescents is more related to the barriers felt by parents and has not been juxtaposed with reinforcing factors and motivations seen from parents' self-confidence. </w:t>
      </w:r>
      <w:r w:rsidR="00542D39">
        <w:fldChar w:fldCharType="begin" w:fldLock="1"/>
      </w:r>
      <w:r w:rsidR="00542D39">
        <w:instrText>ADDIN CSL_CITATION {"citationItems":[{"id":"ITEM-1","itemData":{"DOI":"10.1101/656843","ISBN":"1111111111","ISSN":"1932-6203","abstract":"The copyright holder for this preprint is the author/funder, who has granted bioRxiv a license to display the preprint in perpetuity. It is made available under a CC-BY 4.0 International license.  Background Sexual activity during youth is common in Lao PDR. However, young people seldom utilize sexual and reproductive health services and subsequently suffer from poor sexual and reproductive health. The aim of this qualitative study was to explore the barriers perceived by youth that prevent their access to sexual and reproductive health services. Methods Twenty-nine semi-structured interviews were conducted with 22 participants aged 15-25 years, from urban and rural areas. A vignette was used during interviews with those who had no experience with sexual and reproductive health services. Additionally, seven semi-structured interviews were conducted with health providers from youth-friendly health clinics and from public sexual and reproductive health services. Data were analyzed using a thematic approach. Results The main barriers preventing young people from accessing sexual and reproductive health services were related to cognitive accessibility and psychosocial accessibility. The cognitive accessibility barriers were a lack of sexual knowledge and a lack of awareness of services. Perceived barriers in psychosocial accessibility were the feelings of shyness and shame caused by negative cultural attitudes to premarital sex, and the fear of parents finding out about visits to public sexual and reproductive health services, due to lack of confidentiality in the services and among health providers. In addition, the barriers of geographical accessibility, mainly insufficient availability of youth-friendly health clinics. Conclusion To improve access to services, a multi-component strategy is needed: promotion of youth-friendly health clinics; sexual education in schools; a formal referral system between schools and youth-friendly health clinics; and community support interventions. Prior to implementation, more research should be done on the applicability of these methods in the Laos context. Future research should try to determine the cost-effectiveness of youth-friendly health clinics integrated in a district hospital and stand-alone clinics, to provide insight into which form should be further developed.","author":[{"dropping-particle":"","family":"Thongmixay","given":"Souksamone","non-dropping-particle":"","parse-names":false,"suffix":""},{"dropping-particle":"","family":"Essink","given":"Dirk Rombout","non-dropping-particle":"","parse-names":false,"suffix":""},{"dropping-particle":"","family":"Greeuw","given":"Tim","non-dropping-particle":"de","parse-names":false,"suffix":""},{"dropping-particle":"","family":"Vongxay","given":"Viengnakhone","non-dropping-particle":"","parse-names":false,"suffix":""},{"dropping-particle":"","family":"Sychareun","given":"Vanphanom","non-dropping-particle":"","parse-names":false,"suffix":""},{"dropping-particle":"","family":"Broerse","given":"Jacqueline E.W.","non-dropping-particle":"","parse-names":false,"suffix":""}],"container-title":"PLoS ONE","id":"ITEM-1","issue":"10","issued":{"date-parts":[["2019"]]},"page":"1-16","title":"Perceived Barriers in Accessing Sexual and Reproductive Health Services for Youth in Lao People’s Democratic Republic","type":"article-journal","volume":"14"},"uris":["http://www.mendeley.com/documents/?uuid=5a810b29-437c-4322-b24f-5f4358896d1a"]},{"id":"ITEM-2","itemData":{"DOI":"10.1371/journal.pone.0208849","ISBN":"1111111111","ISSN":"19326203","PMID":"30562393","abstract":"Background Parents play critical roles in adolescents’ sexual and reproductive health (SRH) and discussions between parents and adolescents on this topic are fundamental in reducing adolescents’ risky sexual behaviors. However, SRH communication is a challenging issue in Myanmar due to socio-cultural taboos. This study assessed the communication barriers towards SRH issues among mothers and their adolescent girls. Methods A community-based, cross-sectional study was conducted from January to December 2017 in Taunggyi Township, Southern Shan State, Myanmar. In total, 112 pairs of mothers and adolescent daughters were recruited using a face-to-face interview method with semi-structured questionnaires. Logistic regression analysis was applied to examine communication barriers on SRH issues between mothers and their adolescent girls. Results More than half of both mother and adolescent girls had negative perceptions of communication on SRH issues. Only 2.7% of girls discussed SRH issues with their mothers more than four times in the last six months. The factors found to create SRH communication barriers were higher family incomes (adjusted odd ration [AOR] 2.5, 95% confidence interval [CI] 1.0, 6.2), good knowledge of puberty (AOR 4.5, 95% CI 1.6, 12.5), good knowledge of sexual and reproductive health issues (AOR 4.5, 95% CI 1.8, 11.5), and positive perception of communication (AOR 6.7, 95% CI 2.5, 17.9) among mothers, and good knowledge of contraception (AOR 5.7, 95% CI 1.5, 21.4) and good knowledge of sexually transmitted infections (AOR 2.5, 95% CI 1.0, 6.4) among adolescent girls. Conclusion Mothers and adolescent girls communicated on SRHs was narrow, occurring infrequently and late, with only limited topics discussed. Having higher levels of SRH knowledge were more likely to create communication barriers among mother and adolescent girls. Policy makers need to consider targeted sexual and reproductive health education programs that can be implemented at the school and community levels to increase parent-adolescent communication.","author":[{"dropping-particle":"","family":"Nu Noe","given":"May Thet","non-dropping-particle":"","parse-names":false,"suffix":""},{"dropping-particle":"","family":"Saw","given":"Yu Mon","non-dropping-particle":"","parse-names":false,"suffix":""},{"dropping-particle":"","family":"Soe","given":"Pa Pa","non-dropping-particle":"","parse-names":false,"suffix":""},{"dropping-particle":"","family":"Khaing","given":"Moe","non-dropping-particle":"","parse-names":false,"suffix":""},{"dropping-particle":"","family":"Saw","given":"Thu Nandar","non-dropping-particle":"","parse-names":false,"suffix":""},{"dropping-particle":"","family":"Hamajima","given":"Nobuyuki","non-dropping-particle":"","parse-names":false,"suffix":""},{"dropping-particle":"","family":"Win","given":"Hla Hla","non-dropping-particle":"","parse-names":false,"suffix":""}],"container-title":"PLoS ONE","id":"ITEM-2","issue":"12","issued":{"date-parts":[["2018"]]},"page":"1-16","title":"Barriers between mothers and their adolescent daughters with regards to sexual and reproductive health communication in Taunggyi Township, Myanmar: What factors play important roles?","type":"article-journal","volume":"13"},"uris":["http://www.mendeley.com/documents/?uuid=516d27c0-9f75-4ea7-98a2-b0ca487ae410"]}],"mendeley":{"formattedCitation":"[17], [18]","plainTextFormattedCitation":"[17], [18]"},"properties":{"noteIndex":0},"schema":"https://github.com/citation-style-language/schema/raw/master/csl-citation.json"}</w:instrText>
      </w:r>
      <w:r w:rsidR="00542D39">
        <w:fldChar w:fldCharType="separate"/>
      </w:r>
      <w:r w:rsidR="00542D39" w:rsidRPr="00542D39">
        <w:rPr>
          <w:noProof/>
        </w:rPr>
        <w:t>[17], [18]</w:t>
      </w:r>
      <w:r w:rsidR="00542D39">
        <w:fldChar w:fldCharType="end"/>
      </w:r>
      <w:r w:rsidR="00542D39">
        <w:t xml:space="preserve">. </w:t>
      </w:r>
      <w:r w:rsidRPr="00B1792D">
        <w:t>Therefore, further research efforts are needed to analyze the most influential factors between partner support, perceived barriers, and parental self-confidence with parental behavior in providing information on reproductive health and sexuality to adolescents in Surakarta</w:t>
      </w:r>
      <w:r w:rsidR="00552A9C">
        <w:t xml:space="preserve">. </w:t>
      </w:r>
    </w:p>
    <w:p w14:paraId="52646D79" w14:textId="77777777" w:rsidR="00904D6D" w:rsidRPr="003D5B84" w:rsidRDefault="00904D6D" w:rsidP="0010046E">
      <w:pPr>
        <w:jc w:val="both"/>
      </w:pPr>
    </w:p>
    <w:p w14:paraId="71C8AEDE" w14:textId="77777777" w:rsidR="0010046E" w:rsidRPr="003D5B84" w:rsidRDefault="0010046E" w:rsidP="0010046E">
      <w:pPr>
        <w:jc w:val="both"/>
      </w:pPr>
    </w:p>
    <w:p w14:paraId="3AE97AC7" w14:textId="4575330D" w:rsidR="00904D6D" w:rsidRPr="003D5B84" w:rsidRDefault="00F33C08" w:rsidP="00D74C5F">
      <w:pPr>
        <w:numPr>
          <w:ilvl w:val="0"/>
          <w:numId w:val="15"/>
        </w:numPr>
        <w:tabs>
          <w:tab w:val="left" w:pos="426"/>
        </w:tabs>
        <w:ind w:left="426" w:hanging="426"/>
        <w:rPr>
          <w:b/>
          <w:bCs/>
          <w:lang w:val="id-ID"/>
        </w:rPr>
      </w:pPr>
      <w:r w:rsidRPr="003D5B84">
        <w:rPr>
          <w:b/>
          <w:bCs/>
          <w:lang w:val="id-ID"/>
        </w:rPr>
        <w:t>RESEARCH METHOD</w:t>
      </w:r>
      <w:r>
        <w:rPr>
          <w:b/>
          <w:bCs/>
        </w:rPr>
        <w:t xml:space="preserve"> </w:t>
      </w:r>
    </w:p>
    <w:p w14:paraId="733E49E3" w14:textId="29F79817" w:rsidR="00904D6D" w:rsidRDefault="00591820" w:rsidP="00A51892">
      <w:pPr>
        <w:ind w:firstLine="720"/>
        <w:jc w:val="both"/>
      </w:pPr>
      <w:r w:rsidRPr="00591820">
        <w:t xml:space="preserve">This type of research is analytic observational with a cross sectional approach. The research population is parents who have teenage children (15-19 years) in Surakarta with a total sample of 300 samples calculated using the </w:t>
      </w:r>
      <w:proofErr w:type="spellStart"/>
      <w:r w:rsidRPr="00591820">
        <w:t>Lemeshow</w:t>
      </w:r>
      <w:proofErr w:type="spellEnd"/>
      <w:r w:rsidRPr="00591820">
        <w:t xml:space="preserve"> formula. The sampling technique in this study used double sampling which was carried out in June-August 2020. Data collection was carried out online using an online survey platform. The independent variable is parental self-confidence which is categorized into high self-confidence (if score </w:t>
      </w:r>
      <w:r w:rsidR="00375BE3">
        <w:t>≥</w:t>
      </w:r>
      <w:r w:rsidRPr="00591820">
        <w:t>14), and low (if score &lt;14) with a cut of point using the median. The next independent variable is the perception of barriers felt by parents in communicating reproductive health and sexuality. Categorization of obstacle perception variables was categorized into high barrier perception (median score</w:t>
      </w:r>
      <w:r w:rsidR="00375BE3">
        <w:t xml:space="preserve"> ≥</w:t>
      </w:r>
      <w:r w:rsidRPr="00591820">
        <w:t xml:space="preserve"> 5.5) and low (median score &lt; 5.5). The last independent variable is the partner's support in providing information on reproductive health and sexuality. Categorization of pair support includes high (median score </w:t>
      </w:r>
      <w:r w:rsidR="00375BE3">
        <w:t>≥</w:t>
      </w:r>
      <w:r w:rsidRPr="00591820">
        <w:t xml:space="preserve">14) and low (median score &lt; 14) partner support. While the dependent variable is the actions of parents in providing reproductive health and sexuality education to their adolescent children (15-19 years) with the categorization of having or not providing comprehensive information on reproductive health and sexuality. Parents who have provided comprehensive reproductive health information are parents who have provided information on how </w:t>
      </w:r>
      <w:r w:rsidRPr="00591820">
        <w:lastRenderedPageBreak/>
        <w:t>to get along with the opposite sex, values ​​and norms related to reproductive health, gender, reproductive rights, how to access information on reproductive health and sexuality, anatomy and physiology of reproductive health and sexuality, sexual behavior, pregnancy and prevention of unwanted pregnancy, and HIV/AIDS. The instrument used in this study uses a questionnaire that has been tested for validity and reliability with the Cronbach's Alpha value on parental self-confidence of 0.957, partner support of 0.952, and perceived barriers of 0.965. Data analysis in this study includes univariate analysis, bivariate using chi square, and multivariate using logistic regression. This research has obtained ethical feasibility from the Health Research Ethics Commission (KEPK) Faculty of Medicine UMS No. 2991/B.2/KEPK-FKUMS/VII/2020</w:t>
      </w:r>
      <w:r w:rsidR="00934F4B">
        <w:t>.</w:t>
      </w:r>
    </w:p>
    <w:p w14:paraId="37A57570" w14:textId="77777777" w:rsidR="000E0E3C" w:rsidRDefault="000E0E3C" w:rsidP="00904D6D">
      <w:pPr>
        <w:jc w:val="center"/>
      </w:pPr>
    </w:p>
    <w:p w14:paraId="4B797C03" w14:textId="77777777" w:rsidR="00B07DF0" w:rsidRPr="003D5B84" w:rsidRDefault="00B07DF0" w:rsidP="00904D6D">
      <w:pPr>
        <w:rPr>
          <w:b/>
          <w:bCs/>
        </w:rPr>
      </w:pPr>
    </w:p>
    <w:p w14:paraId="598470E7" w14:textId="121B7A1D" w:rsidR="00F252C7" w:rsidRPr="00F252C7" w:rsidRDefault="00F33C08" w:rsidP="00F252C7">
      <w:pPr>
        <w:numPr>
          <w:ilvl w:val="0"/>
          <w:numId w:val="15"/>
        </w:numPr>
        <w:tabs>
          <w:tab w:val="left" w:pos="426"/>
        </w:tabs>
        <w:ind w:left="426" w:hanging="426"/>
        <w:rPr>
          <w:b/>
          <w:bCs/>
          <w:lang w:val="id-ID"/>
        </w:rPr>
      </w:pPr>
      <w:r w:rsidRPr="003D5B84">
        <w:rPr>
          <w:b/>
          <w:bCs/>
          <w:lang w:val="id-ID"/>
        </w:rPr>
        <w:t xml:space="preserve">RESULTS </w:t>
      </w:r>
      <w:r w:rsidRPr="003D5B84">
        <w:rPr>
          <w:b/>
          <w:bCs/>
        </w:rPr>
        <w:t>A</w:t>
      </w:r>
      <w:r w:rsidR="00521EC1">
        <w:rPr>
          <w:b/>
          <w:bCs/>
          <w:lang w:val="id-ID"/>
        </w:rPr>
        <w:t xml:space="preserve">ND </w:t>
      </w:r>
      <w:r w:rsidR="00521EC1">
        <w:rPr>
          <w:b/>
          <w:bCs/>
          <w:lang w:val="en-ID"/>
        </w:rPr>
        <w:t>DISCUSSIONS</w:t>
      </w:r>
      <w:r>
        <w:rPr>
          <w:b/>
          <w:bCs/>
        </w:rPr>
        <w:t xml:space="preserve"> </w:t>
      </w:r>
    </w:p>
    <w:p w14:paraId="48EC2762" w14:textId="007A7AB4" w:rsidR="00F252C7" w:rsidRPr="00D563AC" w:rsidRDefault="00591820" w:rsidP="00F252C7">
      <w:pPr>
        <w:ind w:firstLine="709"/>
        <w:jc w:val="both"/>
        <w:rPr>
          <w:lang w:eastAsia="ja-JP"/>
        </w:rPr>
      </w:pPr>
      <w:r w:rsidRPr="00591820">
        <w:t xml:space="preserve">More than half of the parents in this study were male, with 162 respondents (54%) with the majority of respondents being in the </w:t>
      </w:r>
      <w:proofErr w:type="gramStart"/>
      <w:r w:rsidRPr="00591820">
        <w:t>48-53 year</w:t>
      </w:r>
      <w:proofErr w:type="gramEnd"/>
      <w:r w:rsidRPr="00591820">
        <w:t xml:space="preserve"> age group with 91 respondents (30.3%). Meanwhile, in the aspect of the parents' last education level, it was found that the most respondents had high school education level of 154 respondents (51.3%). Then the most parents' occupations are private with 127 respondents (42.33%). The description of the characteristics of the respondents can be seen in Table 1</w:t>
      </w:r>
      <w:r w:rsidR="00F252C7">
        <w:t xml:space="preserve">. </w:t>
      </w:r>
    </w:p>
    <w:p w14:paraId="26AFAFCC" w14:textId="0F8D48F1" w:rsidR="00F252C7" w:rsidRPr="00455747" w:rsidRDefault="00F252C7" w:rsidP="00810ABF">
      <w:pPr>
        <w:spacing w:before="120"/>
        <w:jc w:val="center"/>
        <w:rPr>
          <w:lang w:eastAsia="ja-JP"/>
        </w:rPr>
      </w:pPr>
      <w:r w:rsidRPr="00414499">
        <w:rPr>
          <w:bCs/>
          <w:lang w:val="es-MX"/>
        </w:rPr>
        <w:t>Tabl</w:t>
      </w:r>
      <w:r w:rsidR="00455747" w:rsidRPr="00414499">
        <w:rPr>
          <w:bCs/>
          <w:lang w:val="es-MX"/>
        </w:rPr>
        <w:t>e</w:t>
      </w:r>
      <w:r w:rsidRPr="00414499">
        <w:rPr>
          <w:bCs/>
          <w:lang w:val="es-MX"/>
        </w:rPr>
        <w:t xml:space="preserve"> 1.</w:t>
      </w:r>
      <w:r w:rsidRPr="00414499">
        <w:rPr>
          <w:bCs/>
          <w:lang w:val="id-ID"/>
        </w:rPr>
        <w:tab/>
      </w:r>
      <w:proofErr w:type="spellStart"/>
      <w:r w:rsidR="007B03C4">
        <w:rPr>
          <w:lang w:val="es-MX"/>
        </w:rPr>
        <w:t>Respondent</w:t>
      </w:r>
      <w:proofErr w:type="spellEnd"/>
      <w:r w:rsidR="007B03C4">
        <w:rPr>
          <w:lang w:val="es-MX"/>
        </w:rPr>
        <w:t xml:space="preserve"> </w:t>
      </w:r>
      <w:proofErr w:type="spellStart"/>
      <w:r w:rsidR="007B03C4">
        <w:rPr>
          <w:lang w:val="es-MX"/>
        </w:rPr>
        <w:t>Characteristics</w:t>
      </w:r>
      <w:proofErr w:type="spellEnd"/>
    </w:p>
    <w:tbl>
      <w:tblPr>
        <w:tblW w:w="4891" w:type="pct"/>
        <w:tblInd w:w="108" w:type="dxa"/>
        <w:tblBorders>
          <w:top w:val="single" w:sz="4" w:space="0" w:color="auto"/>
          <w:bottom w:val="single" w:sz="4" w:space="0" w:color="auto"/>
        </w:tblBorders>
        <w:tblLook w:val="01E0" w:firstRow="1" w:lastRow="1" w:firstColumn="1" w:lastColumn="1" w:noHBand="0" w:noVBand="0"/>
      </w:tblPr>
      <w:tblGrid>
        <w:gridCol w:w="4427"/>
        <w:gridCol w:w="1659"/>
        <w:gridCol w:w="2510"/>
      </w:tblGrid>
      <w:tr w:rsidR="00F252C7" w:rsidRPr="00DC3DC5" w14:paraId="3145EDB5" w14:textId="77777777" w:rsidTr="00FE2C3D">
        <w:tc>
          <w:tcPr>
            <w:tcW w:w="2575" w:type="pct"/>
            <w:tcBorders>
              <w:top w:val="single" w:sz="4" w:space="0" w:color="auto"/>
              <w:bottom w:val="single" w:sz="4" w:space="0" w:color="auto"/>
            </w:tcBorders>
          </w:tcPr>
          <w:p w14:paraId="3CF7ECBE" w14:textId="7D057485" w:rsidR="00F252C7" w:rsidRPr="00455747" w:rsidDel="00AF2B45" w:rsidRDefault="007B03C4" w:rsidP="002D3DD5">
            <w:pPr>
              <w:ind w:firstLine="34"/>
              <w:rPr>
                <w:sz w:val="16"/>
                <w:szCs w:val="16"/>
                <w:lang w:val="pt-BR"/>
              </w:rPr>
            </w:pPr>
            <w:r>
              <w:rPr>
                <w:sz w:val="16"/>
                <w:szCs w:val="16"/>
                <w:lang w:val="pt-BR"/>
              </w:rPr>
              <w:t>Respondent Characteristics</w:t>
            </w:r>
          </w:p>
          <w:p w14:paraId="0E420161" w14:textId="77777777" w:rsidR="00F252C7" w:rsidRPr="00455747" w:rsidRDefault="00F252C7" w:rsidP="002D3DD5">
            <w:pPr>
              <w:ind w:firstLine="34"/>
              <w:rPr>
                <w:sz w:val="16"/>
                <w:szCs w:val="16"/>
                <w:lang w:val="id-ID"/>
              </w:rPr>
            </w:pPr>
          </w:p>
        </w:tc>
        <w:tc>
          <w:tcPr>
            <w:tcW w:w="965" w:type="pct"/>
            <w:tcBorders>
              <w:top w:val="single" w:sz="4" w:space="0" w:color="auto"/>
              <w:bottom w:val="single" w:sz="4" w:space="0" w:color="auto"/>
            </w:tcBorders>
            <w:vAlign w:val="center"/>
          </w:tcPr>
          <w:p w14:paraId="153B9D3D" w14:textId="46C04319" w:rsidR="00F252C7" w:rsidRPr="00455747" w:rsidRDefault="007B03C4" w:rsidP="002D3DD5">
            <w:pPr>
              <w:jc w:val="center"/>
              <w:rPr>
                <w:bCs/>
                <w:sz w:val="16"/>
                <w:szCs w:val="16"/>
              </w:rPr>
            </w:pPr>
            <w:r>
              <w:rPr>
                <w:bCs/>
                <w:sz w:val="16"/>
                <w:szCs w:val="16"/>
                <w:lang w:val="en-ID"/>
              </w:rPr>
              <w:t>Frequency</w:t>
            </w:r>
            <w:r w:rsidR="00F252C7" w:rsidRPr="00455747">
              <w:rPr>
                <w:bCs/>
                <w:sz w:val="16"/>
                <w:szCs w:val="16"/>
                <w:lang w:val="id-ID"/>
              </w:rPr>
              <w:t xml:space="preserve"> (n</w:t>
            </w:r>
            <w:r w:rsidR="00F252C7" w:rsidRPr="00455747">
              <w:rPr>
                <w:bCs/>
                <w:sz w:val="16"/>
                <w:szCs w:val="16"/>
              </w:rPr>
              <w:t>)</w:t>
            </w:r>
          </w:p>
        </w:tc>
        <w:tc>
          <w:tcPr>
            <w:tcW w:w="1460" w:type="pct"/>
            <w:tcBorders>
              <w:top w:val="single" w:sz="4" w:space="0" w:color="auto"/>
              <w:bottom w:val="single" w:sz="4" w:space="0" w:color="auto"/>
            </w:tcBorders>
            <w:vAlign w:val="center"/>
          </w:tcPr>
          <w:p w14:paraId="2B0BED13" w14:textId="0ABD020C" w:rsidR="00F252C7" w:rsidRPr="00455747" w:rsidRDefault="007B03C4" w:rsidP="002D3DD5">
            <w:pPr>
              <w:jc w:val="center"/>
              <w:rPr>
                <w:bCs/>
                <w:sz w:val="16"/>
                <w:szCs w:val="16"/>
              </w:rPr>
            </w:pPr>
            <w:r>
              <w:rPr>
                <w:bCs/>
                <w:sz w:val="16"/>
                <w:szCs w:val="16"/>
              </w:rPr>
              <w:t>Percentage</w:t>
            </w:r>
          </w:p>
          <w:p w14:paraId="0392C96C" w14:textId="77777777" w:rsidR="00F252C7" w:rsidRPr="00455747" w:rsidRDefault="00F252C7" w:rsidP="002D3DD5">
            <w:pPr>
              <w:jc w:val="center"/>
              <w:rPr>
                <w:bCs/>
                <w:sz w:val="16"/>
                <w:szCs w:val="16"/>
              </w:rPr>
            </w:pPr>
            <w:r w:rsidRPr="00455747">
              <w:rPr>
                <w:bCs/>
                <w:sz w:val="16"/>
                <w:szCs w:val="16"/>
              </w:rPr>
              <w:t>(%)</w:t>
            </w:r>
          </w:p>
        </w:tc>
      </w:tr>
      <w:tr w:rsidR="00F252C7" w:rsidRPr="00DC3DC5" w14:paraId="6EA401CD" w14:textId="77777777" w:rsidTr="00FE2C3D">
        <w:tc>
          <w:tcPr>
            <w:tcW w:w="2575" w:type="pct"/>
            <w:tcBorders>
              <w:top w:val="single" w:sz="4" w:space="0" w:color="auto"/>
            </w:tcBorders>
          </w:tcPr>
          <w:p w14:paraId="62BCF871" w14:textId="0D37D9F4" w:rsidR="00F252C7" w:rsidRPr="00455747" w:rsidRDefault="007B03C4" w:rsidP="002D3DD5">
            <w:pPr>
              <w:ind w:firstLine="34"/>
              <w:rPr>
                <w:sz w:val="16"/>
                <w:szCs w:val="16"/>
                <w:lang w:val="id-ID"/>
              </w:rPr>
            </w:pPr>
            <w:r>
              <w:rPr>
                <w:bCs/>
                <w:sz w:val="16"/>
                <w:szCs w:val="16"/>
                <w:lang w:val="sv-SE"/>
              </w:rPr>
              <w:t>Age of Adolescent (years old)</w:t>
            </w:r>
          </w:p>
        </w:tc>
        <w:tc>
          <w:tcPr>
            <w:tcW w:w="965" w:type="pct"/>
            <w:tcBorders>
              <w:top w:val="single" w:sz="4" w:space="0" w:color="auto"/>
            </w:tcBorders>
            <w:vAlign w:val="bottom"/>
          </w:tcPr>
          <w:p w14:paraId="0693F007" w14:textId="77777777" w:rsidR="00F252C7" w:rsidRPr="00455747" w:rsidRDefault="00F252C7" w:rsidP="002D3DD5">
            <w:pPr>
              <w:ind w:right="-88"/>
              <w:jc w:val="center"/>
              <w:rPr>
                <w:sz w:val="16"/>
                <w:szCs w:val="16"/>
              </w:rPr>
            </w:pPr>
          </w:p>
        </w:tc>
        <w:tc>
          <w:tcPr>
            <w:tcW w:w="1460" w:type="pct"/>
            <w:tcBorders>
              <w:top w:val="single" w:sz="4" w:space="0" w:color="auto"/>
            </w:tcBorders>
            <w:vAlign w:val="bottom"/>
          </w:tcPr>
          <w:p w14:paraId="746C0260" w14:textId="77777777" w:rsidR="00F252C7" w:rsidRPr="00455747" w:rsidRDefault="00F252C7" w:rsidP="002D3DD5">
            <w:pPr>
              <w:ind w:right="459"/>
              <w:jc w:val="center"/>
              <w:rPr>
                <w:sz w:val="16"/>
                <w:szCs w:val="16"/>
              </w:rPr>
            </w:pPr>
          </w:p>
        </w:tc>
      </w:tr>
      <w:tr w:rsidR="00F252C7" w:rsidRPr="00DC3DC5" w14:paraId="0D6397CF" w14:textId="77777777" w:rsidTr="00FE2C3D">
        <w:tc>
          <w:tcPr>
            <w:tcW w:w="2575" w:type="pct"/>
          </w:tcPr>
          <w:p w14:paraId="24E60917" w14:textId="77777777" w:rsidR="00F252C7" w:rsidRPr="00455747" w:rsidRDefault="00F252C7" w:rsidP="002D3DD5">
            <w:pPr>
              <w:ind w:firstLine="463"/>
              <w:rPr>
                <w:sz w:val="16"/>
                <w:szCs w:val="16"/>
                <w:lang w:val="id-ID"/>
              </w:rPr>
            </w:pPr>
            <w:r w:rsidRPr="00455747">
              <w:rPr>
                <w:bCs/>
                <w:sz w:val="16"/>
                <w:szCs w:val="16"/>
                <w:lang w:val="sv-SE"/>
              </w:rPr>
              <w:t xml:space="preserve">15 </w:t>
            </w:r>
          </w:p>
        </w:tc>
        <w:tc>
          <w:tcPr>
            <w:tcW w:w="965" w:type="pct"/>
            <w:vAlign w:val="bottom"/>
          </w:tcPr>
          <w:p w14:paraId="27F77553" w14:textId="77777777" w:rsidR="00F252C7" w:rsidRPr="00455747" w:rsidRDefault="00F252C7" w:rsidP="002D3DD5">
            <w:pPr>
              <w:ind w:right="-88"/>
              <w:jc w:val="center"/>
              <w:rPr>
                <w:sz w:val="16"/>
                <w:szCs w:val="16"/>
              </w:rPr>
            </w:pPr>
            <w:r w:rsidRPr="00455747">
              <w:rPr>
                <w:sz w:val="16"/>
                <w:szCs w:val="16"/>
              </w:rPr>
              <w:t>49</w:t>
            </w:r>
          </w:p>
        </w:tc>
        <w:tc>
          <w:tcPr>
            <w:tcW w:w="1460" w:type="pct"/>
            <w:vAlign w:val="bottom"/>
          </w:tcPr>
          <w:p w14:paraId="5B5CACF2" w14:textId="3DAB7869" w:rsidR="00F252C7" w:rsidRPr="00455747" w:rsidRDefault="00F252C7" w:rsidP="002D3DD5">
            <w:pPr>
              <w:ind w:right="459"/>
              <w:jc w:val="center"/>
              <w:rPr>
                <w:sz w:val="16"/>
                <w:szCs w:val="16"/>
              </w:rPr>
            </w:pPr>
            <w:r w:rsidRPr="00455747">
              <w:rPr>
                <w:sz w:val="16"/>
                <w:szCs w:val="16"/>
              </w:rPr>
              <w:t>16</w:t>
            </w:r>
            <w:r w:rsidR="00FE2C3D">
              <w:rPr>
                <w:sz w:val="16"/>
                <w:szCs w:val="16"/>
              </w:rPr>
              <w:t>.</w:t>
            </w:r>
            <w:r w:rsidRPr="00455747">
              <w:rPr>
                <w:sz w:val="16"/>
                <w:szCs w:val="16"/>
              </w:rPr>
              <w:t>3</w:t>
            </w:r>
          </w:p>
        </w:tc>
      </w:tr>
      <w:tr w:rsidR="00F252C7" w:rsidRPr="00DC3DC5" w14:paraId="25CB9CAC" w14:textId="77777777" w:rsidTr="00FE2C3D">
        <w:tc>
          <w:tcPr>
            <w:tcW w:w="2575" w:type="pct"/>
          </w:tcPr>
          <w:p w14:paraId="40C39626" w14:textId="77777777" w:rsidR="00F252C7" w:rsidRPr="00455747" w:rsidRDefault="00F252C7" w:rsidP="002D3DD5">
            <w:pPr>
              <w:ind w:firstLine="463"/>
              <w:rPr>
                <w:sz w:val="16"/>
                <w:szCs w:val="16"/>
                <w:lang w:val="id-ID"/>
              </w:rPr>
            </w:pPr>
            <w:r w:rsidRPr="00455747">
              <w:rPr>
                <w:bCs/>
                <w:sz w:val="16"/>
                <w:szCs w:val="16"/>
                <w:lang w:val="sv-SE"/>
              </w:rPr>
              <w:t>16</w:t>
            </w:r>
          </w:p>
        </w:tc>
        <w:tc>
          <w:tcPr>
            <w:tcW w:w="965" w:type="pct"/>
            <w:vAlign w:val="bottom"/>
          </w:tcPr>
          <w:p w14:paraId="2A640141" w14:textId="77777777" w:rsidR="00F252C7" w:rsidRPr="00455747" w:rsidRDefault="00F252C7" w:rsidP="002D3DD5">
            <w:pPr>
              <w:ind w:right="-88"/>
              <w:jc w:val="center"/>
              <w:rPr>
                <w:sz w:val="16"/>
                <w:szCs w:val="16"/>
              </w:rPr>
            </w:pPr>
            <w:r w:rsidRPr="00455747">
              <w:rPr>
                <w:sz w:val="16"/>
                <w:szCs w:val="16"/>
              </w:rPr>
              <w:t>54</w:t>
            </w:r>
          </w:p>
        </w:tc>
        <w:tc>
          <w:tcPr>
            <w:tcW w:w="1460" w:type="pct"/>
            <w:vAlign w:val="bottom"/>
          </w:tcPr>
          <w:p w14:paraId="5990DF19" w14:textId="77777777" w:rsidR="00F252C7" w:rsidRPr="00455747" w:rsidRDefault="00F252C7" w:rsidP="002D3DD5">
            <w:pPr>
              <w:ind w:right="459"/>
              <w:jc w:val="center"/>
              <w:rPr>
                <w:sz w:val="16"/>
                <w:szCs w:val="16"/>
              </w:rPr>
            </w:pPr>
            <w:r w:rsidRPr="00455747">
              <w:rPr>
                <w:sz w:val="16"/>
                <w:szCs w:val="16"/>
              </w:rPr>
              <w:t>18</w:t>
            </w:r>
          </w:p>
        </w:tc>
      </w:tr>
      <w:tr w:rsidR="00F252C7" w:rsidRPr="00DC3DC5" w14:paraId="3D12F80F" w14:textId="77777777" w:rsidTr="00FE2C3D">
        <w:tc>
          <w:tcPr>
            <w:tcW w:w="2575" w:type="pct"/>
          </w:tcPr>
          <w:p w14:paraId="0F463D1E" w14:textId="77777777" w:rsidR="00F252C7" w:rsidRPr="00455747" w:rsidRDefault="00F252C7" w:rsidP="002D3DD5">
            <w:pPr>
              <w:ind w:firstLine="463"/>
              <w:rPr>
                <w:sz w:val="16"/>
                <w:szCs w:val="16"/>
              </w:rPr>
            </w:pPr>
            <w:r w:rsidRPr="00455747">
              <w:rPr>
                <w:bCs/>
                <w:sz w:val="16"/>
                <w:szCs w:val="16"/>
              </w:rPr>
              <w:t>17</w:t>
            </w:r>
          </w:p>
        </w:tc>
        <w:tc>
          <w:tcPr>
            <w:tcW w:w="965" w:type="pct"/>
            <w:vAlign w:val="bottom"/>
          </w:tcPr>
          <w:p w14:paraId="14A35815" w14:textId="77777777" w:rsidR="00F252C7" w:rsidRPr="00455747" w:rsidRDefault="00F252C7" w:rsidP="002D3DD5">
            <w:pPr>
              <w:ind w:right="-88"/>
              <w:jc w:val="center"/>
              <w:rPr>
                <w:sz w:val="16"/>
                <w:szCs w:val="16"/>
              </w:rPr>
            </w:pPr>
            <w:r w:rsidRPr="00455747">
              <w:rPr>
                <w:sz w:val="16"/>
                <w:szCs w:val="16"/>
              </w:rPr>
              <w:t>58</w:t>
            </w:r>
          </w:p>
        </w:tc>
        <w:tc>
          <w:tcPr>
            <w:tcW w:w="1460" w:type="pct"/>
            <w:vAlign w:val="bottom"/>
          </w:tcPr>
          <w:p w14:paraId="5976C93C" w14:textId="3B5C8BB5" w:rsidR="00F252C7" w:rsidRPr="00455747" w:rsidRDefault="00F252C7" w:rsidP="002D3DD5">
            <w:pPr>
              <w:ind w:right="459"/>
              <w:jc w:val="center"/>
              <w:rPr>
                <w:sz w:val="16"/>
                <w:szCs w:val="16"/>
              </w:rPr>
            </w:pPr>
            <w:r w:rsidRPr="00455747">
              <w:rPr>
                <w:sz w:val="16"/>
                <w:szCs w:val="16"/>
              </w:rPr>
              <w:t>19</w:t>
            </w:r>
            <w:r w:rsidR="00FE2C3D">
              <w:rPr>
                <w:sz w:val="16"/>
                <w:szCs w:val="16"/>
              </w:rPr>
              <w:t>.</w:t>
            </w:r>
            <w:r w:rsidRPr="00455747">
              <w:rPr>
                <w:sz w:val="16"/>
                <w:szCs w:val="16"/>
              </w:rPr>
              <w:t>3</w:t>
            </w:r>
          </w:p>
        </w:tc>
      </w:tr>
      <w:tr w:rsidR="00F252C7" w:rsidRPr="00DC3DC5" w14:paraId="3B53EDD3" w14:textId="77777777" w:rsidTr="00FE2C3D">
        <w:tc>
          <w:tcPr>
            <w:tcW w:w="2575" w:type="pct"/>
          </w:tcPr>
          <w:p w14:paraId="1BC33B8E" w14:textId="77777777" w:rsidR="00F252C7" w:rsidRPr="00455747" w:rsidRDefault="00F252C7" w:rsidP="002D3DD5">
            <w:pPr>
              <w:ind w:firstLine="463"/>
              <w:rPr>
                <w:sz w:val="16"/>
                <w:szCs w:val="16"/>
                <w:lang w:val="id-ID"/>
              </w:rPr>
            </w:pPr>
            <w:r w:rsidRPr="00455747">
              <w:rPr>
                <w:sz w:val="16"/>
                <w:szCs w:val="16"/>
                <w:lang w:val="id-ID"/>
              </w:rPr>
              <w:t>18</w:t>
            </w:r>
          </w:p>
        </w:tc>
        <w:tc>
          <w:tcPr>
            <w:tcW w:w="965" w:type="pct"/>
            <w:vAlign w:val="bottom"/>
          </w:tcPr>
          <w:p w14:paraId="2BD083D7" w14:textId="77777777" w:rsidR="00F252C7" w:rsidRPr="00455747" w:rsidRDefault="00F252C7" w:rsidP="002D3DD5">
            <w:pPr>
              <w:ind w:right="-88"/>
              <w:jc w:val="center"/>
              <w:rPr>
                <w:sz w:val="16"/>
                <w:szCs w:val="16"/>
              </w:rPr>
            </w:pPr>
            <w:r w:rsidRPr="00455747">
              <w:rPr>
                <w:sz w:val="16"/>
                <w:szCs w:val="16"/>
              </w:rPr>
              <w:t>62</w:t>
            </w:r>
          </w:p>
        </w:tc>
        <w:tc>
          <w:tcPr>
            <w:tcW w:w="1460" w:type="pct"/>
            <w:vAlign w:val="bottom"/>
          </w:tcPr>
          <w:p w14:paraId="795E8CFE" w14:textId="07F05309" w:rsidR="00F252C7" w:rsidRPr="00455747" w:rsidRDefault="00F252C7" w:rsidP="002D3DD5">
            <w:pPr>
              <w:ind w:right="459"/>
              <w:jc w:val="center"/>
              <w:rPr>
                <w:sz w:val="16"/>
                <w:szCs w:val="16"/>
              </w:rPr>
            </w:pPr>
            <w:r w:rsidRPr="00455747">
              <w:rPr>
                <w:sz w:val="16"/>
                <w:szCs w:val="16"/>
              </w:rPr>
              <w:t>20</w:t>
            </w:r>
            <w:r w:rsidR="00FE2C3D">
              <w:rPr>
                <w:sz w:val="16"/>
                <w:szCs w:val="16"/>
              </w:rPr>
              <w:t>.</w:t>
            </w:r>
            <w:r w:rsidRPr="00455747">
              <w:rPr>
                <w:sz w:val="16"/>
                <w:szCs w:val="16"/>
              </w:rPr>
              <w:t>7</w:t>
            </w:r>
          </w:p>
        </w:tc>
      </w:tr>
      <w:tr w:rsidR="00F252C7" w:rsidRPr="00DC3DC5" w14:paraId="0AD8E939" w14:textId="77777777" w:rsidTr="00FE2C3D">
        <w:tc>
          <w:tcPr>
            <w:tcW w:w="2575" w:type="pct"/>
          </w:tcPr>
          <w:p w14:paraId="1DD793BE" w14:textId="77777777" w:rsidR="00F252C7" w:rsidRPr="00455747" w:rsidRDefault="00F252C7" w:rsidP="002D3DD5">
            <w:pPr>
              <w:ind w:firstLine="463"/>
              <w:rPr>
                <w:sz w:val="16"/>
                <w:szCs w:val="16"/>
                <w:lang w:val="en-ID"/>
              </w:rPr>
            </w:pPr>
            <w:r w:rsidRPr="00455747">
              <w:rPr>
                <w:sz w:val="16"/>
                <w:szCs w:val="16"/>
                <w:lang w:val="en-ID"/>
              </w:rPr>
              <w:t>19</w:t>
            </w:r>
          </w:p>
        </w:tc>
        <w:tc>
          <w:tcPr>
            <w:tcW w:w="965" w:type="pct"/>
            <w:vAlign w:val="bottom"/>
          </w:tcPr>
          <w:p w14:paraId="724B9C90" w14:textId="77777777" w:rsidR="00F252C7" w:rsidRPr="00455747" w:rsidRDefault="00F252C7" w:rsidP="002D3DD5">
            <w:pPr>
              <w:ind w:right="-88"/>
              <w:jc w:val="center"/>
              <w:rPr>
                <w:sz w:val="16"/>
                <w:szCs w:val="16"/>
              </w:rPr>
            </w:pPr>
            <w:r w:rsidRPr="00455747">
              <w:rPr>
                <w:sz w:val="16"/>
                <w:szCs w:val="16"/>
              </w:rPr>
              <w:t>77</w:t>
            </w:r>
          </w:p>
        </w:tc>
        <w:tc>
          <w:tcPr>
            <w:tcW w:w="1460" w:type="pct"/>
            <w:vAlign w:val="bottom"/>
          </w:tcPr>
          <w:p w14:paraId="59C23786" w14:textId="1D03A10A" w:rsidR="00F252C7" w:rsidRPr="00455747" w:rsidRDefault="00F252C7" w:rsidP="002D3DD5">
            <w:pPr>
              <w:ind w:right="459"/>
              <w:jc w:val="center"/>
              <w:rPr>
                <w:sz w:val="16"/>
                <w:szCs w:val="16"/>
              </w:rPr>
            </w:pPr>
            <w:r w:rsidRPr="00455747">
              <w:rPr>
                <w:sz w:val="16"/>
                <w:szCs w:val="16"/>
              </w:rPr>
              <w:t>25</w:t>
            </w:r>
            <w:r w:rsidR="00FE2C3D">
              <w:rPr>
                <w:sz w:val="16"/>
                <w:szCs w:val="16"/>
              </w:rPr>
              <w:t>.</w:t>
            </w:r>
            <w:r w:rsidRPr="00455747">
              <w:rPr>
                <w:sz w:val="16"/>
                <w:szCs w:val="16"/>
              </w:rPr>
              <w:t>7</w:t>
            </w:r>
          </w:p>
        </w:tc>
      </w:tr>
      <w:tr w:rsidR="00F252C7" w:rsidRPr="00DC3DC5" w14:paraId="11FC19CF" w14:textId="77777777" w:rsidTr="00FE2C3D">
        <w:tc>
          <w:tcPr>
            <w:tcW w:w="2575" w:type="pct"/>
          </w:tcPr>
          <w:p w14:paraId="3E77E582" w14:textId="288FC129" w:rsidR="00F252C7" w:rsidRPr="00455747" w:rsidRDefault="007B03C4" w:rsidP="002D3DD5">
            <w:pPr>
              <w:rPr>
                <w:sz w:val="16"/>
                <w:szCs w:val="16"/>
                <w:lang w:val="en-ID"/>
              </w:rPr>
            </w:pPr>
            <w:r>
              <w:rPr>
                <w:sz w:val="16"/>
                <w:szCs w:val="16"/>
                <w:lang w:val="en-ID"/>
              </w:rPr>
              <w:t>Parents Age</w:t>
            </w:r>
            <w:r w:rsidR="00F252C7" w:rsidRPr="00455747">
              <w:rPr>
                <w:sz w:val="16"/>
                <w:szCs w:val="16"/>
                <w:lang w:val="en-ID"/>
              </w:rPr>
              <w:t xml:space="preserve"> (</w:t>
            </w:r>
            <w:r>
              <w:rPr>
                <w:sz w:val="16"/>
                <w:szCs w:val="16"/>
                <w:lang w:val="en-ID"/>
              </w:rPr>
              <w:t>years old</w:t>
            </w:r>
            <w:r w:rsidR="00F252C7" w:rsidRPr="00455747">
              <w:rPr>
                <w:sz w:val="16"/>
                <w:szCs w:val="16"/>
                <w:lang w:val="en-ID"/>
              </w:rPr>
              <w:t>)</w:t>
            </w:r>
          </w:p>
        </w:tc>
        <w:tc>
          <w:tcPr>
            <w:tcW w:w="965" w:type="pct"/>
            <w:vAlign w:val="bottom"/>
          </w:tcPr>
          <w:p w14:paraId="18AC6FBD" w14:textId="77777777" w:rsidR="00F252C7" w:rsidRPr="00455747" w:rsidRDefault="00F252C7" w:rsidP="002D3DD5">
            <w:pPr>
              <w:ind w:right="-88"/>
              <w:jc w:val="center"/>
              <w:rPr>
                <w:sz w:val="16"/>
                <w:szCs w:val="16"/>
              </w:rPr>
            </w:pPr>
          </w:p>
        </w:tc>
        <w:tc>
          <w:tcPr>
            <w:tcW w:w="1460" w:type="pct"/>
            <w:vAlign w:val="bottom"/>
          </w:tcPr>
          <w:p w14:paraId="2A477263" w14:textId="77777777" w:rsidR="00F252C7" w:rsidRPr="00455747" w:rsidRDefault="00F252C7" w:rsidP="002D3DD5">
            <w:pPr>
              <w:ind w:right="459"/>
              <w:jc w:val="center"/>
              <w:rPr>
                <w:sz w:val="16"/>
                <w:szCs w:val="16"/>
              </w:rPr>
            </w:pPr>
          </w:p>
        </w:tc>
      </w:tr>
      <w:tr w:rsidR="00F252C7" w:rsidRPr="00DC3DC5" w14:paraId="2E4741E1" w14:textId="77777777" w:rsidTr="00FE2C3D">
        <w:tc>
          <w:tcPr>
            <w:tcW w:w="2575" w:type="pct"/>
          </w:tcPr>
          <w:p w14:paraId="0F76C583" w14:textId="77777777" w:rsidR="00F252C7" w:rsidRPr="00455747" w:rsidRDefault="00F252C7" w:rsidP="002D3DD5">
            <w:pPr>
              <w:ind w:firstLine="463"/>
              <w:rPr>
                <w:sz w:val="16"/>
                <w:szCs w:val="16"/>
                <w:lang w:val="en-ID"/>
              </w:rPr>
            </w:pPr>
            <w:r w:rsidRPr="00455747">
              <w:rPr>
                <w:sz w:val="16"/>
                <w:szCs w:val="16"/>
                <w:lang w:val="en-ID"/>
              </w:rPr>
              <w:t>24-29</w:t>
            </w:r>
          </w:p>
        </w:tc>
        <w:tc>
          <w:tcPr>
            <w:tcW w:w="965" w:type="pct"/>
            <w:vAlign w:val="bottom"/>
          </w:tcPr>
          <w:p w14:paraId="5A83E59D" w14:textId="77777777" w:rsidR="00F252C7" w:rsidRPr="00455747" w:rsidRDefault="00F252C7" w:rsidP="002D3DD5">
            <w:pPr>
              <w:ind w:right="-88"/>
              <w:jc w:val="center"/>
              <w:rPr>
                <w:sz w:val="16"/>
                <w:szCs w:val="16"/>
              </w:rPr>
            </w:pPr>
            <w:r w:rsidRPr="00455747">
              <w:rPr>
                <w:sz w:val="16"/>
                <w:szCs w:val="16"/>
              </w:rPr>
              <w:t>2</w:t>
            </w:r>
          </w:p>
        </w:tc>
        <w:tc>
          <w:tcPr>
            <w:tcW w:w="1460" w:type="pct"/>
            <w:vAlign w:val="bottom"/>
          </w:tcPr>
          <w:p w14:paraId="110CACA0" w14:textId="247E3A6D" w:rsidR="00F252C7" w:rsidRPr="00455747" w:rsidRDefault="00F252C7" w:rsidP="002D3DD5">
            <w:pPr>
              <w:ind w:right="459"/>
              <w:jc w:val="center"/>
              <w:rPr>
                <w:sz w:val="16"/>
                <w:szCs w:val="16"/>
              </w:rPr>
            </w:pPr>
            <w:r w:rsidRPr="00455747">
              <w:rPr>
                <w:sz w:val="16"/>
                <w:szCs w:val="16"/>
              </w:rPr>
              <w:t>0</w:t>
            </w:r>
            <w:r w:rsidR="00FE2C3D">
              <w:rPr>
                <w:sz w:val="16"/>
                <w:szCs w:val="16"/>
              </w:rPr>
              <w:t>.</w:t>
            </w:r>
            <w:r w:rsidRPr="00455747">
              <w:rPr>
                <w:sz w:val="16"/>
                <w:szCs w:val="16"/>
              </w:rPr>
              <w:t>7</w:t>
            </w:r>
          </w:p>
        </w:tc>
      </w:tr>
      <w:tr w:rsidR="00F252C7" w:rsidRPr="00DC3DC5" w14:paraId="5DFDAED9" w14:textId="77777777" w:rsidTr="00FE2C3D">
        <w:tc>
          <w:tcPr>
            <w:tcW w:w="2575" w:type="pct"/>
          </w:tcPr>
          <w:p w14:paraId="7EB720B6" w14:textId="77777777" w:rsidR="00F252C7" w:rsidRPr="00455747" w:rsidRDefault="00F252C7" w:rsidP="002D3DD5">
            <w:pPr>
              <w:ind w:firstLine="463"/>
              <w:rPr>
                <w:sz w:val="16"/>
                <w:szCs w:val="16"/>
                <w:lang w:val="en-ID"/>
              </w:rPr>
            </w:pPr>
            <w:r w:rsidRPr="00455747">
              <w:rPr>
                <w:sz w:val="16"/>
                <w:szCs w:val="16"/>
                <w:lang w:val="en-ID"/>
              </w:rPr>
              <w:t>30-35</w:t>
            </w:r>
          </w:p>
        </w:tc>
        <w:tc>
          <w:tcPr>
            <w:tcW w:w="965" w:type="pct"/>
            <w:vAlign w:val="bottom"/>
          </w:tcPr>
          <w:p w14:paraId="526EED5D" w14:textId="77777777" w:rsidR="00F252C7" w:rsidRPr="00455747" w:rsidRDefault="00F252C7" w:rsidP="002D3DD5">
            <w:pPr>
              <w:ind w:right="-88"/>
              <w:jc w:val="center"/>
              <w:rPr>
                <w:sz w:val="16"/>
                <w:szCs w:val="16"/>
              </w:rPr>
            </w:pPr>
            <w:r w:rsidRPr="00455747">
              <w:rPr>
                <w:sz w:val="16"/>
                <w:szCs w:val="16"/>
              </w:rPr>
              <w:t>9</w:t>
            </w:r>
          </w:p>
        </w:tc>
        <w:tc>
          <w:tcPr>
            <w:tcW w:w="1460" w:type="pct"/>
            <w:vAlign w:val="bottom"/>
          </w:tcPr>
          <w:p w14:paraId="0494DD62" w14:textId="77777777" w:rsidR="00F252C7" w:rsidRPr="00455747" w:rsidRDefault="00F252C7" w:rsidP="002D3DD5">
            <w:pPr>
              <w:ind w:right="459"/>
              <w:jc w:val="center"/>
              <w:rPr>
                <w:sz w:val="16"/>
                <w:szCs w:val="16"/>
              </w:rPr>
            </w:pPr>
            <w:r w:rsidRPr="00455747">
              <w:rPr>
                <w:sz w:val="16"/>
                <w:szCs w:val="16"/>
              </w:rPr>
              <w:t>3</w:t>
            </w:r>
          </w:p>
        </w:tc>
      </w:tr>
      <w:tr w:rsidR="00F252C7" w:rsidRPr="00DC3DC5" w14:paraId="4E68F7AE" w14:textId="77777777" w:rsidTr="00FE2C3D">
        <w:tc>
          <w:tcPr>
            <w:tcW w:w="2575" w:type="pct"/>
          </w:tcPr>
          <w:p w14:paraId="6829A826" w14:textId="77777777" w:rsidR="00F252C7" w:rsidRPr="00455747" w:rsidRDefault="00F252C7" w:rsidP="002D3DD5">
            <w:pPr>
              <w:ind w:firstLine="463"/>
              <w:rPr>
                <w:sz w:val="16"/>
                <w:szCs w:val="16"/>
                <w:lang w:val="en-ID"/>
              </w:rPr>
            </w:pPr>
            <w:r w:rsidRPr="00455747">
              <w:rPr>
                <w:sz w:val="16"/>
                <w:szCs w:val="16"/>
                <w:lang w:val="en-ID"/>
              </w:rPr>
              <w:t>36-41</w:t>
            </w:r>
          </w:p>
        </w:tc>
        <w:tc>
          <w:tcPr>
            <w:tcW w:w="965" w:type="pct"/>
            <w:vAlign w:val="bottom"/>
          </w:tcPr>
          <w:p w14:paraId="2124BA89" w14:textId="77777777" w:rsidR="00F252C7" w:rsidRPr="00455747" w:rsidRDefault="00F252C7" w:rsidP="002D3DD5">
            <w:pPr>
              <w:ind w:right="-88"/>
              <w:jc w:val="center"/>
              <w:rPr>
                <w:sz w:val="16"/>
                <w:szCs w:val="16"/>
              </w:rPr>
            </w:pPr>
            <w:r w:rsidRPr="00455747">
              <w:rPr>
                <w:sz w:val="16"/>
                <w:szCs w:val="16"/>
              </w:rPr>
              <w:t>49</w:t>
            </w:r>
          </w:p>
        </w:tc>
        <w:tc>
          <w:tcPr>
            <w:tcW w:w="1460" w:type="pct"/>
            <w:vAlign w:val="bottom"/>
          </w:tcPr>
          <w:p w14:paraId="1914CF7F" w14:textId="638EA62C" w:rsidR="00F252C7" w:rsidRPr="00455747" w:rsidRDefault="00F252C7" w:rsidP="002D3DD5">
            <w:pPr>
              <w:ind w:right="459"/>
              <w:jc w:val="center"/>
              <w:rPr>
                <w:sz w:val="16"/>
                <w:szCs w:val="16"/>
              </w:rPr>
            </w:pPr>
            <w:r w:rsidRPr="00455747">
              <w:rPr>
                <w:sz w:val="16"/>
                <w:szCs w:val="16"/>
              </w:rPr>
              <w:t>16</w:t>
            </w:r>
            <w:r w:rsidR="00FE2C3D">
              <w:rPr>
                <w:sz w:val="16"/>
                <w:szCs w:val="16"/>
              </w:rPr>
              <w:t>.</w:t>
            </w:r>
            <w:r w:rsidRPr="00455747">
              <w:rPr>
                <w:sz w:val="16"/>
                <w:szCs w:val="16"/>
              </w:rPr>
              <w:t>3</w:t>
            </w:r>
          </w:p>
        </w:tc>
      </w:tr>
      <w:tr w:rsidR="00F252C7" w:rsidRPr="00DC3DC5" w14:paraId="58261385" w14:textId="77777777" w:rsidTr="00FE2C3D">
        <w:tc>
          <w:tcPr>
            <w:tcW w:w="2575" w:type="pct"/>
          </w:tcPr>
          <w:p w14:paraId="2BF29F0F" w14:textId="77777777" w:rsidR="00F252C7" w:rsidRPr="00455747" w:rsidRDefault="00F252C7" w:rsidP="002D3DD5">
            <w:pPr>
              <w:ind w:firstLine="463"/>
              <w:rPr>
                <w:sz w:val="16"/>
                <w:szCs w:val="16"/>
                <w:lang w:val="en-ID"/>
              </w:rPr>
            </w:pPr>
            <w:r w:rsidRPr="00455747">
              <w:rPr>
                <w:sz w:val="16"/>
                <w:szCs w:val="16"/>
                <w:lang w:val="en-ID"/>
              </w:rPr>
              <w:t>42-47</w:t>
            </w:r>
          </w:p>
        </w:tc>
        <w:tc>
          <w:tcPr>
            <w:tcW w:w="965" w:type="pct"/>
            <w:vAlign w:val="bottom"/>
          </w:tcPr>
          <w:p w14:paraId="15CCDBEB" w14:textId="77777777" w:rsidR="00F252C7" w:rsidRPr="00455747" w:rsidRDefault="00F252C7" w:rsidP="002D3DD5">
            <w:pPr>
              <w:ind w:right="-88"/>
              <w:jc w:val="center"/>
              <w:rPr>
                <w:sz w:val="16"/>
                <w:szCs w:val="16"/>
              </w:rPr>
            </w:pPr>
            <w:r w:rsidRPr="00455747">
              <w:rPr>
                <w:sz w:val="16"/>
                <w:szCs w:val="16"/>
              </w:rPr>
              <w:t>72</w:t>
            </w:r>
          </w:p>
        </w:tc>
        <w:tc>
          <w:tcPr>
            <w:tcW w:w="1460" w:type="pct"/>
            <w:vAlign w:val="bottom"/>
          </w:tcPr>
          <w:p w14:paraId="6F1D7533" w14:textId="77777777" w:rsidR="00F252C7" w:rsidRPr="00455747" w:rsidRDefault="00F252C7" w:rsidP="002D3DD5">
            <w:pPr>
              <w:ind w:right="459"/>
              <w:jc w:val="center"/>
              <w:rPr>
                <w:sz w:val="16"/>
                <w:szCs w:val="16"/>
              </w:rPr>
            </w:pPr>
            <w:r w:rsidRPr="00455747">
              <w:rPr>
                <w:sz w:val="16"/>
                <w:szCs w:val="16"/>
              </w:rPr>
              <w:t>24</w:t>
            </w:r>
          </w:p>
        </w:tc>
      </w:tr>
      <w:tr w:rsidR="00F252C7" w:rsidRPr="00DC3DC5" w14:paraId="42DAEAB3" w14:textId="77777777" w:rsidTr="00FE2C3D">
        <w:tc>
          <w:tcPr>
            <w:tcW w:w="2575" w:type="pct"/>
          </w:tcPr>
          <w:p w14:paraId="47C7C808" w14:textId="77777777" w:rsidR="00F252C7" w:rsidRPr="00455747" w:rsidRDefault="00F252C7" w:rsidP="002D3DD5">
            <w:pPr>
              <w:ind w:firstLine="463"/>
              <w:rPr>
                <w:sz w:val="16"/>
                <w:szCs w:val="16"/>
                <w:lang w:val="en-ID"/>
              </w:rPr>
            </w:pPr>
            <w:r w:rsidRPr="00455747">
              <w:rPr>
                <w:sz w:val="16"/>
                <w:szCs w:val="16"/>
                <w:lang w:val="en-ID"/>
              </w:rPr>
              <w:t>48-53</w:t>
            </w:r>
          </w:p>
        </w:tc>
        <w:tc>
          <w:tcPr>
            <w:tcW w:w="965" w:type="pct"/>
            <w:vAlign w:val="bottom"/>
          </w:tcPr>
          <w:p w14:paraId="5651B844" w14:textId="77777777" w:rsidR="00F252C7" w:rsidRPr="00455747" w:rsidRDefault="00F252C7" w:rsidP="002D3DD5">
            <w:pPr>
              <w:ind w:right="-88"/>
              <w:jc w:val="center"/>
              <w:rPr>
                <w:sz w:val="16"/>
                <w:szCs w:val="16"/>
              </w:rPr>
            </w:pPr>
            <w:r w:rsidRPr="00455747">
              <w:rPr>
                <w:sz w:val="16"/>
                <w:szCs w:val="16"/>
              </w:rPr>
              <w:t>91</w:t>
            </w:r>
          </w:p>
        </w:tc>
        <w:tc>
          <w:tcPr>
            <w:tcW w:w="1460" w:type="pct"/>
            <w:vAlign w:val="bottom"/>
          </w:tcPr>
          <w:p w14:paraId="1816EEFC" w14:textId="2E989963" w:rsidR="00F252C7" w:rsidRPr="00455747" w:rsidRDefault="00F252C7" w:rsidP="002D3DD5">
            <w:pPr>
              <w:ind w:right="459"/>
              <w:jc w:val="center"/>
              <w:rPr>
                <w:sz w:val="16"/>
                <w:szCs w:val="16"/>
              </w:rPr>
            </w:pPr>
            <w:r w:rsidRPr="00455747">
              <w:rPr>
                <w:sz w:val="16"/>
                <w:szCs w:val="16"/>
              </w:rPr>
              <w:t>30</w:t>
            </w:r>
            <w:r w:rsidR="00FE2C3D">
              <w:rPr>
                <w:sz w:val="16"/>
                <w:szCs w:val="16"/>
              </w:rPr>
              <w:t>.</w:t>
            </w:r>
            <w:r w:rsidRPr="00455747">
              <w:rPr>
                <w:sz w:val="16"/>
                <w:szCs w:val="16"/>
              </w:rPr>
              <w:t>3</w:t>
            </w:r>
          </w:p>
        </w:tc>
      </w:tr>
      <w:tr w:rsidR="00F252C7" w:rsidRPr="00DC3DC5" w14:paraId="30B32629" w14:textId="77777777" w:rsidTr="00FE2C3D">
        <w:tc>
          <w:tcPr>
            <w:tcW w:w="2575" w:type="pct"/>
          </w:tcPr>
          <w:p w14:paraId="636AB4DC" w14:textId="77777777" w:rsidR="00F252C7" w:rsidRPr="00455747" w:rsidRDefault="00F252C7" w:rsidP="002D3DD5">
            <w:pPr>
              <w:ind w:firstLine="463"/>
              <w:rPr>
                <w:sz w:val="16"/>
                <w:szCs w:val="16"/>
                <w:lang w:val="en-ID"/>
              </w:rPr>
            </w:pPr>
            <w:r w:rsidRPr="00455747">
              <w:rPr>
                <w:sz w:val="16"/>
                <w:szCs w:val="16"/>
                <w:lang w:val="en-ID"/>
              </w:rPr>
              <w:t>54-60</w:t>
            </w:r>
          </w:p>
        </w:tc>
        <w:tc>
          <w:tcPr>
            <w:tcW w:w="965" w:type="pct"/>
            <w:vAlign w:val="bottom"/>
          </w:tcPr>
          <w:p w14:paraId="0FA941FA" w14:textId="77777777" w:rsidR="00F252C7" w:rsidRPr="00455747" w:rsidRDefault="00F252C7" w:rsidP="002D3DD5">
            <w:pPr>
              <w:ind w:right="-88"/>
              <w:jc w:val="center"/>
              <w:rPr>
                <w:sz w:val="16"/>
                <w:szCs w:val="16"/>
              </w:rPr>
            </w:pPr>
            <w:r w:rsidRPr="00455747">
              <w:rPr>
                <w:sz w:val="16"/>
                <w:szCs w:val="16"/>
              </w:rPr>
              <w:t>77</w:t>
            </w:r>
          </w:p>
        </w:tc>
        <w:tc>
          <w:tcPr>
            <w:tcW w:w="1460" w:type="pct"/>
            <w:vAlign w:val="bottom"/>
          </w:tcPr>
          <w:p w14:paraId="6B54D66E" w14:textId="7535ED4D" w:rsidR="00F252C7" w:rsidRPr="00455747" w:rsidRDefault="00F252C7" w:rsidP="002D3DD5">
            <w:pPr>
              <w:ind w:right="459"/>
              <w:jc w:val="center"/>
              <w:rPr>
                <w:sz w:val="16"/>
                <w:szCs w:val="16"/>
              </w:rPr>
            </w:pPr>
            <w:r w:rsidRPr="00455747">
              <w:rPr>
                <w:sz w:val="16"/>
                <w:szCs w:val="16"/>
              </w:rPr>
              <w:t>25</w:t>
            </w:r>
            <w:r w:rsidR="00FE2C3D">
              <w:rPr>
                <w:sz w:val="16"/>
                <w:szCs w:val="16"/>
              </w:rPr>
              <w:t>.</w:t>
            </w:r>
            <w:r w:rsidRPr="00455747">
              <w:rPr>
                <w:sz w:val="16"/>
                <w:szCs w:val="16"/>
              </w:rPr>
              <w:t>7</w:t>
            </w:r>
          </w:p>
        </w:tc>
      </w:tr>
      <w:tr w:rsidR="00F252C7" w:rsidRPr="00DC3DC5" w14:paraId="5F8D1177" w14:textId="77777777" w:rsidTr="00FE2C3D">
        <w:tc>
          <w:tcPr>
            <w:tcW w:w="2575" w:type="pct"/>
          </w:tcPr>
          <w:p w14:paraId="63CBB175" w14:textId="2EA04117" w:rsidR="00F252C7" w:rsidRPr="00455747" w:rsidRDefault="007B03C4" w:rsidP="002D3DD5">
            <w:pPr>
              <w:rPr>
                <w:sz w:val="16"/>
                <w:szCs w:val="16"/>
                <w:lang w:val="en-ID"/>
              </w:rPr>
            </w:pPr>
            <w:r>
              <w:rPr>
                <w:sz w:val="16"/>
                <w:szCs w:val="16"/>
                <w:lang w:val="en-ID"/>
              </w:rPr>
              <w:t>Adolescent gender</w:t>
            </w:r>
          </w:p>
        </w:tc>
        <w:tc>
          <w:tcPr>
            <w:tcW w:w="965" w:type="pct"/>
            <w:vAlign w:val="bottom"/>
          </w:tcPr>
          <w:p w14:paraId="1863C90C" w14:textId="77777777" w:rsidR="00F252C7" w:rsidRPr="00455747" w:rsidRDefault="00F252C7" w:rsidP="002D3DD5">
            <w:pPr>
              <w:ind w:right="-88"/>
              <w:jc w:val="center"/>
              <w:rPr>
                <w:sz w:val="16"/>
                <w:szCs w:val="16"/>
              </w:rPr>
            </w:pPr>
          </w:p>
        </w:tc>
        <w:tc>
          <w:tcPr>
            <w:tcW w:w="1460" w:type="pct"/>
            <w:vAlign w:val="bottom"/>
          </w:tcPr>
          <w:p w14:paraId="47248848" w14:textId="77777777" w:rsidR="00F252C7" w:rsidRPr="00455747" w:rsidRDefault="00F252C7" w:rsidP="002D3DD5">
            <w:pPr>
              <w:ind w:right="459"/>
              <w:jc w:val="center"/>
              <w:rPr>
                <w:sz w:val="16"/>
                <w:szCs w:val="16"/>
              </w:rPr>
            </w:pPr>
          </w:p>
        </w:tc>
      </w:tr>
      <w:tr w:rsidR="00F252C7" w:rsidRPr="00DC3DC5" w14:paraId="2D8C1CD2" w14:textId="77777777" w:rsidTr="00FE2C3D">
        <w:tc>
          <w:tcPr>
            <w:tcW w:w="2575" w:type="pct"/>
          </w:tcPr>
          <w:p w14:paraId="41E3DDDE" w14:textId="50CE3BAC" w:rsidR="00F252C7" w:rsidRPr="00455747" w:rsidRDefault="007B03C4" w:rsidP="002D3DD5">
            <w:pPr>
              <w:ind w:firstLine="463"/>
              <w:rPr>
                <w:sz w:val="16"/>
                <w:szCs w:val="16"/>
                <w:lang w:val="en-ID"/>
              </w:rPr>
            </w:pPr>
            <w:r>
              <w:rPr>
                <w:sz w:val="16"/>
                <w:szCs w:val="16"/>
                <w:lang w:val="en-ID"/>
              </w:rPr>
              <w:t>Female</w:t>
            </w:r>
          </w:p>
        </w:tc>
        <w:tc>
          <w:tcPr>
            <w:tcW w:w="965" w:type="pct"/>
            <w:vAlign w:val="bottom"/>
          </w:tcPr>
          <w:p w14:paraId="5DC36D1B" w14:textId="77777777" w:rsidR="00F252C7" w:rsidRPr="00455747" w:rsidRDefault="00F252C7" w:rsidP="002D3DD5">
            <w:pPr>
              <w:ind w:right="-88"/>
              <w:jc w:val="center"/>
              <w:rPr>
                <w:sz w:val="16"/>
                <w:szCs w:val="16"/>
              </w:rPr>
            </w:pPr>
            <w:r w:rsidRPr="00455747">
              <w:rPr>
                <w:sz w:val="16"/>
                <w:szCs w:val="16"/>
              </w:rPr>
              <w:t>144</w:t>
            </w:r>
          </w:p>
        </w:tc>
        <w:tc>
          <w:tcPr>
            <w:tcW w:w="1460" w:type="pct"/>
            <w:vAlign w:val="bottom"/>
          </w:tcPr>
          <w:p w14:paraId="2D3D8E62" w14:textId="77777777" w:rsidR="00F252C7" w:rsidRPr="00455747" w:rsidRDefault="00F252C7" w:rsidP="002D3DD5">
            <w:pPr>
              <w:ind w:right="459"/>
              <w:jc w:val="center"/>
              <w:rPr>
                <w:sz w:val="16"/>
                <w:szCs w:val="16"/>
              </w:rPr>
            </w:pPr>
            <w:r w:rsidRPr="00455747">
              <w:rPr>
                <w:sz w:val="16"/>
                <w:szCs w:val="16"/>
              </w:rPr>
              <w:t>48</w:t>
            </w:r>
          </w:p>
        </w:tc>
      </w:tr>
      <w:tr w:rsidR="00F252C7" w:rsidRPr="00DC3DC5" w14:paraId="0708BEC8" w14:textId="77777777" w:rsidTr="00FE2C3D">
        <w:tc>
          <w:tcPr>
            <w:tcW w:w="2575" w:type="pct"/>
          </w:tcPr>
          <w:p w14:paraId="733A683F" w14:textId="646FB040" w:rsidR="00F252C7" w:rsidRPr="00455747" w:rsidRDefault="007B03C4" w:rsidP="002D3DD5">
            <w:pPr>
              <w:ind w:firstLine="463"/>
              <w:rPr>
                <w:sz w:val="16"/>
                <w:szCs w:val="16"/>
                <w:lang w:val="en-ID"/>
              </w:rPr>
            </w:pPr>
            <w:r>
              <w:rPr>
                <w:sz w:val="16"/>
                <w:szCs w:val="16"/>
                <w:lang w:val="en-ID"/>
              </w:rPr>
              <w:t>Male</w:t>
            </w:r>
          </w:p>
        </w:tc>
        <w:tc>
          <w:tcPr>
            <w:tcW w:w="965" w:type="pct"/>
            <w:vAlign w:val="bottom"/>
          </w:tcPr>
          <w:p w14:paraId="22BE2F6D" w14:textId="77777777" w:rsidR="00F252C7" w:rsidRPr="00455747" w:rsidRDefault="00F252C7" w:rsidP="002D3DD5">
            <w:pPr>
              <w:ind w:right="-88"/>
              <w:jc w:val="center"/>
              <w:rPr>
                <w:sz w:val="16"/>
                <w:szCs w:val="16"/>
              </w:rPr>
            </w:pPr>
            <w:r w:rsidRPr="00455747">
              <w:rPr>
                <w:sz w:val="16"/>
                <w:szCs w:val="16"/>
              </w:rPr>
              <w:t>156</w:t>
            </w:r>
          </w:p>
        </w:tc>
        <w:tc>
          <w:tcPr>
            <w:tcW w:w="1460" w:type="pct"/>
            <w:vAlign w:val="bottom"/>
          </w:tcPr>
          <w:p w14:paraId="752E29DB" w14:textId="77777777" w:rsidR="00F252C7" w:rsidRPr="00455747" w:rsidRDefault="00F252C7" w:rsidP="002D3DD5">
            <w:pPr>
              <w:ind w:right="459"/>
              <w:jc w:val="center"/>
              <w:rPr>
                <w:sz w:val="16"/>
                <w:szCs w:val="16"/>
              </w:rPr>
            </w:pPr>
            <w:r w:rsidRPr="00455747">
              <w:rPr>
                <w:sz w:val="16"/>
                <w:szCs w:val="16"/>
              </w:rPr>
              <w:t>52</w:t>
            </w:r>
          </w:p>
        </w:tc>
      </w:tr>
      <w:tr w:rsidR="00F252C7" w:rsidRPr="00DC3DC5" w14:paraId="2DB25D87" w14:textId="77777777" w:rsidTr="00FE2C3D">
        <w:tc>
          <w:tcPr>
            <w:tcW w:w="2575" w:type="pct"/>
          </w:tcPr>
          <w:p w14:paraId="758BBAD2" w14:textId="4D9EC833" w:rsidR="00F252C7" w:rsidRPr="00455747" w:rsidRDefault="009674B0" w:rsidP="002D3DD5">
            <w:pPr>
              <w:rPr>
                <w:sz w:val="16"/>
                <w:szCs w:val="16"/>
                <w:lang w:val="en-ID"/>
              </w:rPr>
            </w:pPr>
            <w:r>
              <w:rPr>
                <w:sz w:val="16"/>
                <w:szCs w:val="16"/>
                <w:lang w:val="en-ID"/>
              </w:rPr>
              <w:t>Parent</w:t>
            </w:r>
            <w:r w:rsidR="007B03C4">
              <w:rPr>
                <w:sz w:val="16"/>
                <w:szCs w:val="16"/>
                <w:lang w:val="en-ID"/>
              </w:rPr>
              <w:t xml:space="preserve"> gender</w:t>
            </w:r>
          </w:p>
        </w:tc>
        <w:tc>
          <w:tcPr>
            <w:tcW w:w="965" w:type="pct"/>
            <w:vAlign w:val="bottom"/>
          </w:tcPr>
          <w:p w14:paraId="0C8B0506" w14:textId="77777777" w:rsidR="00F252C7" w:rsidRPr="00455747" w:rsidRDefault="00F252C7" w:rsidP="002D3DD5">
            <w:pPr>
              <w:ind w:right="-88"/>
              <w:jc w:val="center"/>
              <w:rPr>
                <w:sz w:val="16"/>
                <w:szCs w:val="16"/>
              </w:rPr>
            </w:pPr>
          </w:p>
        </w:tc>
        <w:tc>
          <w:tcPr>
            <w:tcW w:w="1460" w:type="pct"/>
            <w:vAlign w:val="bottom"/>
          </w:tcPr>
          <w:p w14:paraId="4C4C7F09" w14:textId="77777777" w:rsidR="00F252C7" w:rsidRPr="00455747" w:rsidRDefault="00F252C7" w:rsidP="002D3DD5">
            <w:pPr>
              <w:ind w:right="459"/>
              <w:jc w:val="center"/>
              <w:rPr>
                <w:sz w:val="16"/>
                <w:szCs w:val="16"/>
              </w:rPr>
            </w:pPr>
          </w:p>
        </w:tc>
      </w:tr>
      <w:tr w:rsidR="00F252C7" w:rsidRPr="00DC3DC5" w14:paraId="31452917" w14:textId="77777777" w:rsidTr="00FE2C3D">
        <w:tc>
          <w:tcPr>
            <w:tcW w:w="2575" w:type="pct"/>
          </w:tcPr>
          <w:p w14:paraId="2EBAD50B" w14:textId="1C0FC9C1" w:rsidR="00F252C7" w:rsidRPr="00455747" w:rsidRDefault="007B03C4" w:rsidP="002D3DD5">
            <w:pPr>
              <w:ind w:firstLine="463"/>
              <w:rPr>
                <w:sz w:val="16"/>
                <w:szCs w:val="16"/>
                <w:lang w:val="en-ID"/>
              </w:rPr>
            </w:pPr>
            <w:r>
              <w:rPr>
                <w:sz w:val="16"/>
                <w:szCs w:val="16"/>
                <w:lang w:val="en-ID"/>
              </w:rPr>
              <w:t>Female</w:t>
            </w:r>
          </w:p>
        </w:tc>
        <w:tc>
          <w:tcPr>
            <w:tcW w:w="965" w:type="pct"/>
            <w:vAlign w:val="bottom"/>
          </w:tcPr>
          <w:p w14:paraId="508BC808" w14:textId="77777777" w:rsidR="00F252C7" w:rsidRPr="00455747" w:rsidRDefault="00F252C7" w:rsidP="002D3DD5">
            <w:pPr>
              <w:ind w:right="-88"/>
              <w:jc w:val="center"/>
              <w:rPr>
                <w:sz w:val="16"/>
                <w:szCs w:val="16"/>
              </w:rPr>
            </w:pPr>
            <w:r w:rsidRPr="00455747">
              <w:rPr>
                <w:sz w:val="16"/>
                <w:szCs w:val="16"/>
              </w:rPr>
              <w:t>138</w:t>
            </w:r>
          </w:p>
        </w:tc>
        <w:tc>
          <w:tcPr>
            <w:tcW w:w="1460" w:type="pct"/>
            <w:vAlign w:val="bottom"/>
          </w:tcPr>
          <w:p w14:paraId="1D85CE39" w14:textId="77777777" w:rsidR="00F252C7" w:rsidRPr="00455747" w:rsidRDefault="00F252C7" w:rsidP="002D3DD5">
            <w:pPr>
              <w:ind w:right="459"/>
              <w:jc w:val="center"/>
              <w:rPr>
                <w:sz w:val="16"/>
                <w:szCs w:val="16"/>
              </w:rPr>
            </w:pPr>
            <w:r w:rsidRPr="00455747">
              <w:rPr>
                <w:sz w:val="16"/>
                <w:szCs w:val="16"/>
              </w:rPr>
              <w:t>46</w:t>
            </w:r>
          </w:p>
        </w:tc>
      </w:tr>
      <w:tr w:rsidR="00F252C7" w:rsidRPr="00DC3DC5" w14:paraId="63836A04" w14:textId="77777777" w:rsidTr="00FE2C3D">
        <w:tc>
          <w:tcPr>
            <w:tcW w:w="2575" w:type="pct"/>
          </w:tcPr>
          <w:p w14:paraId="45461CAA" w14:textId="3EA75846" w:rsidR="00F252C7" w:rsidRPr="00455747" w:rsidRDefault="007B03C4" w:rsidP="002D3DD5">
            <w:pPr>
              <w:ind w:firstLine="463"/>
              <w:rPr>
                <w:sz w:val="16"/>
                <w:szCs w:val="16"/>
                <w:lang w:val="en-ID"/>
              </w:rPr>
            </w:pPr>
            <w:r>
              <w:rPr>
                <w:sz w:val="16"/>
                <w:szCs w:val="16"/>
                <w:lang w:val="en-ID"/>
              </w:rPr>
              <w:t>Male</w:t>
            </w:r>
          </w:p>
        </w:tc>
        <w:tc>
          <w:tcPr>
            <w:tcW w:w="965" w:type="pct"/>
            <w:vAlign w:val="bottom"/>
          </w:tcPr>
          <w:p w14:paraId="2DC68046" w14:textId="77777777" w:rsidR="00F252C7" w:rsidRPr="00455747" w:rsidRDefault="00F252C7" w:rsidP="002D3DD5">
            <w:pPr>
              <w:ind w:right="-88"/>
              <w:jc w:val="center"/>
              <w:rPr>
                <w:sz w:val="16"/>
                <w:szCs w:val="16"/>
              </w:rPr>
            </w:pPr>
            <w:r w:rsidRPr="00455747">
              <w:rPr>
                <w:sz w:val="16"/>
                <w:szCs w:val="16"/>
              </w:rPr>
              <w:t>162</w:t>
            </w:r>
          </w:p>
        </w:tc>
        <w:tc>
          <w:tcPr>
            <w:tcW w:w="1460" w:type="pct"/>
            <w:vAlign w:val="bottom"/>
          </w:tcPr>
          <w:p w14:paraId="3333C117" w14:textId="77777777" w:rsidR="00F252C7" w:rsidRPr="00455747" w:rsidRDefault="00F252C7" w:rsidP="002D3DD5">
            <w:pPr>
              <w:ind w:right="459"/>
              <w:jc w:val="center"/>
              <w:rPr>
                <w:sz w:val="16"/>
                <w:szCs w:val="16"/>
              </w:rPr>
            </w:pPr>
            <w:r w:rsidRPr="00455747">
              <w:rPr>
                <w:sz w:val="16"/>
                <w:szCs w:val="16"/>
              </w:rPr>
              <w:t>54</w:t>
            </w:r>
          </w:p>
        </w:tc>
      </w:tr>
      <w:tr w:rsidR="00F252C7" w:rsidRPr="00DC3DC5" w14:paraId="76198F93" w14:textId="77777777" w:rsidTr="00FE2C3D">
        <w:tc>
          <w:tcPr>
            <w:tcW w:w="2575" w:type="pct"/>
          </w:tcPr>
          <w:p w14:paraId="4387136A" w14:textId="4AC96735" w:rsidR="00F252C7" w:rsidRPr="00455747" w:rsidRDefault="007B03C4" w:rsidP="002D3DD5">
            <w:pPr>
              <w:rPr>
                <w:sz w:val="16"/>
                <w:szCs w:val="16"/>
                <w:lang w:val="en-ID"/>
              </w:rPr>
            </w:pPr>
            <w:r>
              <w:rPr>
                <w:sz w:val="16"/>
                <w:szCs w:val="16"/>
                <w:lang w:val="en-ID"/>
              </w:rPr>
              <w:t>Parent education</w:t>
            </w:r>
          </w:p>
        </w:tc>
        <w:tc>
          <w:tcPr>
            <w:tcW w:w="965" w:type="pct"/>
            <w:vAlign w:val="bottom"/>
          </w:tcPr>
          <w:p w14:paraId="30009BEE" w14:textId="77777777" w:rsidR="00F252C7" w:rsidRPr="00455747" w:rsidRDefault="00F252C7" w:rsidP="002D3DD5">
            <w:pPr>
              <w:ind w:right="-88"/>
              <w:jc w:val="center"/>
              <w:rPr>
                <w:sz w:val="16"/>
                <w:szCs w:val="16"/>
              </w:rPr>
            </w:pPr>
          </w:p>
        </w:tc>
        <w:tc>
          <w:tcPr>
            <w:tcW w:w="1460" w:type="pct"/>
            <w:vAlign w:val="bottom"/>
          </w:tcPr>
          <w:p w14:paraId="226ACBCF" w14:textId="77777777" w:rsidR="00F252C7" w:rsidRPr="00455747" w:rsidRDefault="00F252C7" w:rsidP="002D3DD5">
            <w:pPr>
              <w:ind w:right="459"/>
              <w:jc w:val="center"/>
              <w:rPr>
                <w:sz w:val="16"/>
                <w:szCs w:val="16"/>
              </w:rPr>
            </w:pPr>
          </w:p>
        </w:tc>
      </w:tr>
      <w:tr w:rsidR="00F252C7" w:rsidRPr="00DC3DC5" w14:paraId="7F186688" w14:textId="77777777" w:rsidTr="00FE2C3D">
        <w:tc>
          <w:tcPr>
            <w:tcW w:w="2575" w:type="pct"/>
          </w:tcPr>
          <w:p w14:paraId="4DA5F044" w14:textId="2C2557F3" w:rsidR="00F252C7" w:rsidRPr="00455747" w:rsidRDefault="007B03C4" w:rsidP="00FE2C3D">
            <w:pPr>
              <w:ind w:firstLine="489"/>
              <w:rPr>
                <w:sz w:val="16"/>
                <w:szCs w:val="16"/>
                <w:lang w:val="en-ID"/>
              </w:rPr>
            </w:pPr>
            <w:r>
              <w:rPr>
                <w:sz w:val="16"/>
                <w:szCs w:val="16"/>
                <w:lang w:val="en-ID"/>
              </w:rPr>
              <w:t>Primary School</w:t>
            </w:r>
          </w:p>
        </w:tc>
        <w:tc>
          <w:tcPr>
            <w:tcW w:w="965" w:type="pct"/>
            <w:vAlign w:val="bottom"/>
          </w:tcPr>
          <w:p w14:paraId="71FF2FE6" w14:textId="77777777" w:rsidR="00F252C7" w:rsidRPr="00455747" w:rsidRDefault="00F252C7" w:rsidP="002D3DD5">
            <w:pPr>
              <w:ind w:right="-88"/>
              <w:jc w:val="center"/>
              <w:rPr>
                <w:sz w:val="16"/>
                <w:szCs w:val="16"/>
              </w:rPr>
            </w:pPr>
            <w:r w:rsidRPr="00455747">
              <w:rPr>
                <w:sz w:val="16"/>
                <w:szCs w:val="16"/>
              </w:rPr>
              <w:t>22</w:t>
            </w:r>
          </w:p>
        </w:tc>
        <w:tc>
          <w:tcPr>
            <w:tcW w:w="1460" w:type="pct"/>
            <w:vAlign w:val="bottom"/>
          </w:tcPr>
          <w:p w14:paraId="65DD8A88" w14:textId="3DB935E9" w:rsidR="00F252C7" w:rsidRPr="00455747" w:rsidRDefault="00F252C7" w:rsidP="002D3DD5">
            <w:pPr>
              <w:ind w:right="459"/>
              <w:jc w:val="center"/>
              <w:rPr>
                <w:sz w:val="16"/>
                <w:szCs w:val="16"/>
              </w:rPr>
            </w:pPr>
            <w:r w:rsidRPr="00455747">
              <w:rPr>
                <w:sz w:val="16"/>
                <w:szCs w:val="16"/>
              </w:rPr>
              <w:t>7</w:t>
            </w:r>
            <w:r w:rsidR="00FE2C3D">
              <w:rPr>
                <w:sz w:val="16"/>
                <w:szCs w:val="16"/>
              </w:rPr>
              <w:t>.</w:t>
            </w:r>
            <w:r w:rsidRPr="00455747">
              <w:rPr>
                <w:sz w:val="16"/>
                <w:szCs w:val="16"/>
              </w:rPr>
              <w:t>3</w:t>
            </w:r>
          </w:p>
        </w:tc>
      </w:tr>
      <w:tr w:rsidR="00F252C7" w:rsidRPr="00DC3DC5" w14:paraId="7291EDAA" w14:textId="77777777" w:rsidTr="00FE2C3D">
        <w:tc>
          <w:tcPr>
            <w:tcW w:w="2575" w:type="pct"/>
          </w:tcPr>
          <w:p w14:paraId="66227B85" w14:textId="7D50B236" w:rsidR="00F252C7" w:rsidRPr="00455747" w:rsidRDefault="007B03C4" w:rsidP="00FE2C3D">
            <w:pPr>
              <w:ind w:firstLine="489"/>
              <w:rPr>
                <w:sz w:val="16"/>
                <w:szCs w:val="16"/>
                <w:lang w:val="en-ID"/>
              </w:rPr>
            </w:pPr>
            <w:r>
              <w:rPr>
                <w:sz w:val="16"/>
                <w:szCs w:val="16"/>
                <w:lang w:val="en-ID"/>
              </w:rPr>
              <w:t>Junior High School</w:t>
            </w:r>
          </w:p>
        </w:tc>
        <w:tc>
          <w:tcPr>
            <w:tcW w:w="965" w:type="pct"/>
            <w:vAlign w:val="bottom"/>
          </w:tcPr>
          <w:p w14:paraId="53E990EE" w14:textId="77777777" w:rsidR="00F252C7" w:rsidRPr="00455747" w:rsidRDefault="00F252C7" w:rsidP="002D3DD5">
            <w:pPr>
              <w:ind w:right="-88"/>
              <w:jc w:val="center"/>
              <w:rPr>
                <w:sz w:val="16"/>
                <w:szCs w:val="16"/>
              </w:rPr>
            </w:pPr>
            <w:r w:rsidRPr="00455747">
              <w:rPr>
                <w:sz w:val="16"/>
                <w:szCs w:val="16"/>
              </w:rPr>
              <w:t>76</w:t>
            </w:r>
          </w:p>
        </w:tc>
        <w:tc>
          <w:tcPr>
            <w:tcW w:w="1460" w:type="pct"/>
            <w:vAlign w:val="bottom"/>
          </w:tcPr>
          <w:p w14:paraId="4269DEB7" w14:textId="507093F8" w:rsidR="00F252C7" w:rsidRPr="00455747" w:rsidRDefault="00F252C7" w:rsidP="002D3DD5">
            <w:pPr>
              <w:ind w:right="459"/>
              <w:jc w:val="center"/>
              <w:rPr>
                <w:sz w:val="16"/>
                <w:szCs w:val="16"/>
              </w:rPr>
            </w:pPr>
            <w:r w:rsidRPr="00455747">
              <w:rPr>
                <w:sz w:val="16"/>
                <w:szCs w:val="16"/>
              </w:rPr>
              <w:t>25</w:t>
            </w:r>
            <w:r w:rsidR="00FE2C3D">
              <w:rPr>
                <w:sz w:val="16"/>
                <w:szCs w:val="16"/>
              </w:rPr>
              <w:t>.</w:t>
            </w:r>
            <w:r w:rsidRPr="00455747">
              <w:rPr>
                <w:sz w:val="16"/>
                <w:szCs w:val="16"/>
              </w:rPr>
              <w:t>3</w:t>
            </w:r>
          </w:p>
        </w:tc>
      </w:tr>
      <w:tr w:rsidR="00F252C7" w:rsidRPr="00DC3DC5" w14:paraId="3A1A6049" w14:textId="77777777" w:rsidTr="00FE2C3D">
        <w:tc>
          <w:tcPr>
            <w:tcW w:w="2575" w:type="pct"/>
          </w:tcPr>
          <w:p w14:paraId="63579522" w14:textId="512255E6" w:rsidR="00F252C7" w:rsidRPr="00455747" w:rsidRDefault="007B03C4" w:rsidP="00FE2C3D">
            <w:pPr>
              <w:ind w:firstLine="489"/>
              <w:rPr>
                <w:sz w:val="16"/>
                <w:szCs w:val="16"/>
                <w:lang w:val="en-ID"/>
              </w:rPr>
            </w:pPr>
            <w:r>
              <w:rPr>
                <w:sz w:val="16"/>
                <w:szCs w:val="16"/>
                <w:lang w:val="en-ID"/>
              </w:rPr>
              <w:t>Senior High School</w:t>
            </w:r>
          </w:p>
        </w:tc>
        <w:tc>
          <w:tcPr>
            <w:tcW w:w="965" w:type="pct"/>
            <w:vAlign w:val="bottom"/>
          </w:tcPr>
          <w:p w14:paraId="3201154A" w14:textId="77777777" w:rsidR="00F252C7" w:rsidRPr="00455747" w:rsidRDefault="00F252C7" w:rsidP="002D3DD5">
            <w:pPr>
              <w:ind w:right="-88"/>
              <w:jc w:val="center"/>
              <w:rPr>
                <w:sz w:val="16"/>
                <w:szCs w:val="16"/>
              </w:rPr>
            </w:pPr>
            <w:r w:rsidRPr="00455747">
              <w:rPr>
                <w:sz w:val="16"/>
                <w:szCs w:val="16"/>
              </w:rPr>
              <w:t>154</w:t>
            </w:r>
          </w:p>
        </w:tc>
        <w:tc>
          <w:tcPr>
            <w:tcW w:w="1460" w:type="pct"/>
            <w:vAlign w:val="bottom"/>
          </w:tcPr>
          <w:p w14:paraId="6E9A8CD9" w14:textId="59FD4CE7" w:rsidR="00F252C7" w:rsidRPr="00455747" w:rsidRDefault="00F252C7" w:rsidP="002D3DD5">
            <w:pPr>
              <w:ind w:right="459"/>
              <w:jc w:val="center"/>
              <w:rPr>
                <w:sz w:val="16"/>
                <w:szCs w:val="16"/>
              </w:rPr>
            </w:pPr>
            <w:r w:rsidRPr="00455747">
              <w:rPr>
                <w:sz w:val="16"/>
                <w:szCs w:val="16"/>
              </w:rPr>
              <w:t>51</w:t>
            </w:r>
            <w:r w:rsidR="00FE2C3D">
              <w:rPr>
                <w:sz w:val="16"/>
                <w:szCs w:val="16"/>
              </w:rPr>
              <w:t>.</w:t>
            </w:r>
            <w:r w:rsidRPr="00455747">
              <w:rPr>
                <w:sz w:val="16"/>
                <w:szCs w:val="16"/>
              </w:rPr>
              <w:t>3</w:t>
            </w:r>
          </w:p>
        </w:tc>
      </w:tr>
      <w:tr w:rsidR="00F252C7" w:rsidRPr="00DC3DC5" w14:paraId="6B8C0C8E" w14:textId="77777777" w:rsidTr="00FE2C3D">
        <w:tc>
          <w:tcPr>
            <w:tcW w:w="2575" w:type="pct"/>
          </w:tcPr>
          <w:p w14:paraId="20ECA950" w14:textId="5492DEA6" w:rsidR="00F252C7" w:rsidRPr="00455747" w:rsidRDefault="007B03C4" w:rsidP="00FE2C3D">
            <w:pPr>
              <w:ind w:firstLine="489"/>
              <w:rPr>
                <w:sz w:val="16"/>
                <w:szCs w:val="16"/>
                <w:lang w:val="en-ID"/>
              </w:rPr>
            </w:pPr>
            <w:r>
              <w:rPr>
                <w:sz w:val="16"/>
                <w:szCs w:val="16"/>
                <w:lang w:val="en-ID"/>
              </w:rPr>
              <w:t>Diploma</w:t>
            </w:r>
          </w:p>
        </w:tc>
        <w:tc>
          <w:tcPr>
            <w:tcW w:w="965" w:type="pct"/>
            <w:vAlign w:val="bottom"/>
          </w:tcPr>
          <w:p w14:paraId="32281EE8" w14:textId="77777777" w:rsidR="00F252C7" w:rsidRPr="00455747" w:rsidRDefault="00F252C7" w:rsidP="002D3DD5">
            <w:pPr>
              <w:ind w:right="-88"/>
              <w:jc w:val="center"/>
              <w:rPr>
                <w:sz w:val="16"/>
                <w:szCs w:val="16"/>
              </w:rPr>
            </w:pPr>
            <w:r w:rsidRPr="00455747">
              <w:rPr>
                <w:sz w:val="16"/>
                <w:szCs w:val="16"/>
              </w:rPr>
              <w:t>3</w:t>
            </w:r>
          </w:p>
        </w:tc>
        <w:tc>
          <w:tcPr>
            <w:tcW w:w="1460" w:type="pct"/>
            <w:vAlign w:val="bottom"/>
          </w:tcPr>
          <w:p w14:paraId="483670A4" w14:textId="77777777" w:rsidR="00F252C7" w:rsidRPr="00455747" w:rsidRDefault="00F252C7" w:rsidP="002D3DD5">
            <w:pPr>
              <w:ind w:right="459"/>
              <w:jc w:val="center"/>
              <w:rPr>
                <w:sz w:val="16"/>
                <w:szCs w:val="16"/>
              </w:rPr>
            </w:pPr>
            <w:r w:rsidRPr="00455747">
              <w:rPr>
                <w:sz w:val="16"/>
                <w:szCs w:val="16"/>
              </w:rPr>
              <w:t>1</w:t>
            </w:r>
          </w:p>
        </w:tc>
      </w:tr>
      <w:tr w:rsidR="00F252C7" w:rsidRPr="00DC3DC5" w14:paraId="535A5FCA" w14:textId="77777777" w:rsidTr="00FE2C3D">
        <w:tc>
          <w:tcPr>
            <w:tcW w:w="2575" w:type="pct"/>
          </w:tcPr>
          <w:p w14:paraId="76CAA0A3" w14:textId="5682A6A1" w:rsidR="00F252C7" w:rsidRPr="00455747" w:rsidRDefault="007B03C4" w:rsidP="00FE2C3D">
            <w:pPr>
              <w:ind w:firstLine="489"/>
              <w:rPr>
                <w:sz w:val="16"/>
                <w:szCs w:val="16"/>
                <w:lang w:val="en-ID"/>
              </w:rPr>
            </w:pPr>
            <w:r>
              <w:rPr>
                <w:sz w:val="16"/>
                <w:szCs w:val="16"/>
                <w:lang w:val="en-ID"/>
              </w:rPr>
              <w:t>Bachelor</w:t>
            </w:r>
          </w:p>
        </w:tc>
        <w:tc>
          <w:tcPr>
            <w:tcW w:w="965" w:type="pct"/>
            <w:vAlign w:val="bottom"/>
          </w:tcPr>
          <w:p w14:paraId="5681938F" w14:textId="77777777" w:rsidR="00F252C7" w:rsidRPr="00455747" w:rsidRDefault="00F252C7" w:rsidP="002D3DD5">
            <w:pPr>
              <w:ind w:right="-88"/>
              <w:jc w:val="center"/>
              <w:rPr>
                <w:sz w:val="16"/>
                <w:szCs w:val="16"/>
              </w:rPr>
            </w:pPr>
            <w:r w:rsidRPr="00455747">
              <w:rPr>
                <w:sz w:val="16"/>
                <w:szCs w:val="16"/>
              </w:rPr>
              <w:t>45</w:t>
            </w:r>
          </w:p>
        </w:tc>
        <w:tc>
          <w:tcPr>
            <w:tcW w:w="1460" w:type="pct"/>
            <w:vAlign w:val="bottom"/>
          </w:tcPr>
          <w:p w14:paraId="4406C903" w14:textId="77777777" w:rsidR="00F252C7" w:rsidRPr="00455747" w:rsidRDefault="00F252C7" w:rsidP="002D3DD5">
            <w:pPr>
              <w:ind w:right="459"/>
              <w:jc w:val="center"/>
              <w:rPr>
                <w:sz w:val="16"/>
                <w:szCs w:val="16"/>
              </w:rPr>
            </w:pPr>
            <w:r w:rsidRPr="00455747">
              <w:rPr>
                <w:sz w:val="16"/>
                <w:szCs w:val="16"/>
              </w:rPr>
              <w:t>15</w:t>
            </w:r>
          </w:p>
        </w:tc>
      </w:tr>
      <w:tr w:rsidR="00F252C7" w:rsidRPr="00DC3DC5" w14:paraId="53039757" w14:textId="77777777" w:rsidTr="00FE2C3D">
        <w:tc>
          <w:tcPr>
            <w:tcW w:w="2575" w:type="pct"/>
          </w:tcPr>
          <w:p w14:paraId="4D19B135" w14:textId="33183CB4" w:rsidR="00F252C7" w:rsidRPr="00455747" w:rsidRDefault="007B03C4" w:rsidP="002D3DD5">
            <w:pPr>
              <w:rPr>
                <w:sz w:val="16"/>
                <w:szCs w:val="16"/>
                <w:lang w:val="en-ID"/>
              </w:rPr>
            </w:pPr>
            <w:r>
              <w:rPr>
                <w:sz w:val="16"/>
                <w:szCs w:val="16"/>
                <w:lang w:val="en-ID"/>
              </w:rPr>
              <w:t>Parents Job</w:t>
            </w:r>
          </w:p>
        </w:tc>
        <w:tc>
          <w:tcPr>
            <w:tcW w:w="965" w:type="pct"/>
            <w:vAlign w:val="bottom"/>
          </w:tcPr>
          <w:p w14:paraId="6DB01C83" w14:textId="77777777" w:rsidR="00F252C7" w:rsidRPr="00455747" w:rsidRDefault="00F252C7" w:rsidP="002D3DD5">
            <w:pPr>
              <w:ind w:right="-88"/>
              <w:jc w:val="center"/>
              <w:rPr>
                <w:sz w:val="16"/>
                <w:szCs w:val="16"/>
              </w:rPr>
            </w:pPr>
          </w:p>
        </w:tc>
        <w:tc>
          <w:tcPr>
            <w:tcW w:w="1460" w:type="pct"/>
            <w:vAlign w:val="bottom"/>
          </w:tcPr>
          <w:p w14:paraId="1842BAC3" w14:textId="77777777" w:rsidR="00F252C7" w:rsidRPr="00455747" w:rsidRDefault="00F252C7" w:rsidP="002D3DD5">
            <w:pPr>
              <w:ind w:right="459"/>
              <w:jc w:val="center"/>
              <w:rPr>
                <w:sz w:val="16"/>
                <w:szCs w:val="16"/>
              </w:rPr>
            </w:pPr>
          </w:p>
        </w:tc>
      </w:tr>
      <w:tr w:rsidR="00F252C7" w:rsidRPr="00DC3DC5" w14:paraId="7E7A0311" w14:textId="77777777" w:rsidTr="00FE2C3D">
        <w:tc>
          <w:tcPr>
            <w:tcW w:w="2575" w:type="pct"/>
          </w:tcPr>
          <w:p w14:paraId="4BD1CFE7" w14:textId="787527A4" w:rsidR="00F252C7" w:rsidRPr="00455747" w:rsidRDefault="007B03C4" w:rsidP="00FE2C3D">
            <w:pPr>
              <w:ind w:firstLine="489"/>
              <w:rPr>
                <w:sz w:val="16"/>
                <w:szCs w:val="16"/>
                <w:lang w:val="en-ID"/>
              </w:rPr>
            </w:pPr>
            <w:r>
              <w:rPr>
                <w:sz w:val="16"/>
                <w:szCs w:val="16"/>
                <w:lang w:val="en-ID"/>
              </w:rPr>
              <w:t>Private</w:t>
            </w:r>
          </w:p>
        </w:tc>
        <w:tc>
          <w:tcPr>
            <w:tcW w:w="965" w:type="pct"/>
            <w:vAlign w:val="bottom"/>
          </w:tcPr>
          <w:p w14:paraId="4B21AEF4" w14:textId="77777777" w:rsidR="00F252C7" w:rsidRPr="00455747" w:rsidRDefault="00F252C7" w:rsidP="002D3DD5">
            <w:pPr>
              <w:ind w:right="-88"/>
              <w:jc w:val="center"/>
              <w:rPr>
                <w:sz w:val="16"/>
                <w:szCs w:val="16"/>
              </w:rPr>
            </w:pPr>
            <w:r w:rsidRPr="00455747">
              <w:rPr>
                <w:sz w:val="16"/>
                <w:szCs w:val="16"/>
              </w:rPr>
              <w:t>127</w:t>
            </w:r>
          </w:p>
        </w:tc>
        <w:tc>
          <w:tcPr>
            <w:tcW w:w="1460" w:type="pct"/>
            <w:vAlign w:val="bottom"/>
          </w:tcPr>
          <w:p w14:paraId="66419EE7" w14:textId="63E3AD16" w:rsidR="00F252C7" w:rsidRPr="00455747" w:rsidRDefault="00F252C7" w:rsidP="002D3DD5">
            <w:pPr>
              <w:ind w:right="459"/>
              <w:jc w:val="center"/>
              <w:rPr>
                <w:sz w:val="16"/>
                <w:szCs w:val="16"/>
              </w:rPr>
            </w:pPr>
            <w:r w:rsidRPr="00455747">
              <w:rPr>
                <w:sz w:val="16"/>
                <w:szCs w:val="16"/>
              </w:rPr>
              <w:t>42</w:t>
            </w:r>
            <w:r w:rsidR="00FE2C3D">
              <w:rPr>
                <w:sz w:val="16"/>
                <w:szCs w:val="16"/>
              </w:rPr>
              <w:t>.</w:t>
            </w:r>
            <w:r w:rsidRPr="00455747">
              <w:rPr>
                <w:sz w:val="16"/>
                <w:szCs w:val="16"/>
              </w:rPr>
              <w:t>33</w:t>
            </w:r>
          </w:p>
        </w:tc>
      </w:tr>
      <w:tr w:rsidR="00F252C7" w:rsidRPr="00DC3DC5" w14:paraId="182E5DD8" w14:textId="77777777" w:rsidTr="00FE2C3D">
        <w:tc>
          <w:tcPr>
            <w:tcW w:w="2575" w:type="pct"/>
          </w:tcPr>
          <w:p w14:paraId="29D4ACBF" w14:textId="5C3F685B" w:rsidR="00F252C7" w:rsidRPr="00455747" w:rsidRDefault="007B03C4" w:rsidP="00FE2C3D">
            <w:pPr>
              <w:ind w:firstLine="489"/>
              <w:rPr>
                <w:sz w:val="16"/>
                <w:szCs w:val="16"/>
                <w:lang w:val="en-ID"/>
              </w:rPr>
            </w:pPr>
            <w:r>
              <w:rPr>
                <w:sz w:val="16"/>
                <w:szCs w:val="16"/>
                <w:lang w:val="en-ID"/>
              </w:rPr>
              <w:t>Trader</w:t>
            </w:r>
          </w:p>
        </w:tc>
        <w:tc>
          <w:tcPr>
            <w:tcW w:w="965" w:type="pct"/>
            <w:vAlign w:val="bottom"/>
          </w:tcPr>
          <w:p w14:paraId="5EF3E1BE" w14:textId="77777777" w:rsidR="00F252C7" w:rsidRPr="00455747" w:rsidRDefault="00F252C7" w:rsidP="002D3DD5">
            <w:pPr>
              <w:ind w:right="-88"/>
              <w:jc w:val="center"/>
              <w:rPr>
                <w:sz w:val="16"/>
                <w:szCs w:val="16"/>
              </w:rPr>
            </w:pPr>
            <w:r w:rsidRPr="00455747">
              <w:rPr>
                <w:sz w:val="16"/>
                <w:szCs w:val="16"/>
              </w:rPr>
              <w:t>61</w:t>
            </w:r>
          </w:p>
        </w:tc>
        <w:tc>
          <w:tcPr>
            <w:tcW w:w="1460" w:type="pct"/>
            <w:vAlign w:val="bottom"/>
          </w:tcPr>
          <w:p w14:paraId="4D28255E" w14:textId="70767B58" w:rsidR="00F252C7" w:rsidRPr="00455747" w:rsidRDefault="00F252C7" w:rsidP="002D3DD5">
            <w:pPr>
              <w:ind w:right="459"/>
              <w:jc w:val="center"/>
              <w:rPr>
                <w:sz w:val="16"/>
                <w:szCs w:val="16"/>
              </w:rPr>
            </w:pPr>
            <w:r w:rsidRPr="00455747">
              <w:rPr>
                <w:sz w:val="16"/>
                <w:szCs w:val="16"/>
              </w:rPr>
              <w:t>20</w:t>
            </w:r>
            <w:r w:rsidR="00FE2C3D">
              <w:rPr>
                <w:sz w:val="16"/>
                <w:szCs w:val="16"/>
              </w:rPr>
              <w:t>.</w:t>
            </w:r>
            <w:r w:rsidRPr="00455747">
              <w:rPr>
                <w:sz w:val="16"/>
                <w:szCs w:val="16"/>
              </w:rPr>
              <w:t>33</w:t>
            </w:r>
          </w:p>
        </w:tc>
      </w:tr>
      <w:tr w:rsidR="00F252C7" w:rsidRPr="00DC3DC5" w14:paraId="46F3F2C0" w14:textId="77777777" w:rsidTr="00FE2C3D">
        <w:tc>
          <w:tcPr>
            <w:tcW w:w="2575" w:type="pct"/>
          </w:tcPr>
          <w:p w14:paraId="45D2E103" w14:textId="487A276B" w:rsidR="00F252C7" w:rsidRPr="00455747" w:rsidRDefault="007B03C4" w:rsidP="00FE2C3D">
            <w:pPr>
              <w:ind w:firstLine="489"/>
              <w:rPr>
                <w:sz w:val="16"/>
                <w:szCs w:val="16"/>
                <w:lang w:val="en-ID"/>
              </w:rPr>
            </w:pPr>
            <w:r>
              <w:rPr>
                <w:sz w:val="16"/>
                <w:szCs w:val="16"/>
                <w:lang w:val="en-ID"/>
              </w:rPr>
              <w:t>Government Employees</w:t>
            </w:r>
          </w:p>
        </w:tc>
        <w:tc>
          <w:tcPr>
            <w:tcW w:w="965" w:type="pct"/>
            <w:vAlign w:val="bottom"/>
          </w:tcPr>
          <w:p w14:paraId="460F1D1C" w14:textId="77777777" w:rsidR="00F252C7" w:rsidRPr="00455747" w:rsidRDefault="00F252C7" w:rsidP="002D3DD5">
            <w:pPr>
              <w:ind w:right="-88"/>
              <w:jc w:val="center"/>
              <w:rPr>
                <w:sz w:val="16"/>
                <w:szCs w:val="16"/>
              </w:rPr>
            </w:pPr>
            <w:r w:rsidRPr="00455747">
              <w:rPr>
                <w:sz w:val="16"/>
                <w:szCs w:val="16"/>
              </w:rPr>
              <w:t>31</w:t>
            </w:r>
          </w:p>
        </w:tc>
        <w:tc>
          <w:tcPr>
            <w:tcW w:w="1460" w:type="pct"/>
            <w:vAlign w:val="bottom"/>
          </w:tcPr>
          <w:p w14:paraId="4CDCA006" w14:textId="619ACC02" w:rsidR="00F252C7" w:rsidRPr="00455747" w:rsidRDefault="00F252C7" w:rsidP="002D3DD5">
            <w:pPr>
              <w:ind w:right="459"/>
              <w:jc w:val="center"/>
              <w:rPr>
                <w:sz w:val="16"/>
                <w:szCs w:val="16"/>
              </w:rPr>
            </w:pPr>
            <w:r w:rsidRPr="00455747">
              <w:rPr>
                <w:sz w:val="16"/>
                <w:szCs w:val="16"/>
              </w:rPr>
              <w:t>10</w:t>
            </w:r>
            <w:r w:rsidR="00FE2C3D">
              <w:rPr>
                <w:sz w:val="16"/>
                <w:szCs w:val="16"/>
              </w:rPr>
              <w:t>.</w:t>
            </w:r>
            <w:r w:rsidRPr="00455747">
              <w:rPr>
                <w:sz w:val="16"/>
                <w:szCs w:val="16"/>
              </w:rPr>
              <w:t>33</w:t>
            </w:r>
          </w:p>
        </w:tc>
      </w:tr>
      <w:tr w:rsidR="00F252C7" w:rsidRPr="00DC3DC5" w14:paraId="20C28808" w14:textId="77777777" w:rsidTr="00FE2C3D">
        <w:tc>
          <w:tcPr>
            <w:tcW w:w="2575" w:type="pct"/>
          </w:tcPr>
          <w:p w14:paraId="17B49129" w14:textId="589667F3" w:rsidR="00F252C7" w:rsidRPr="00455747" w:rsidRDefault="007B03C4" w:rsidP="00FE2C3D">
            <w:pPr>
              <w:ind w:firstLine="489"/>
              <w:rPr>
                <w:sz w:val="16"/>
                <w:szCs w:val="16"/>
                <w:lang w:val="en-ID"/>
              </w:rPr>
            </w:pPr>
            <w:proofErr w:type="spellStart"/>
            <w:r>
              <w:rPr>
                <w:sz w:val="16"/>
                <w:szCs w:val="16"/>
                <w:lang w:val="en-ID"/>
              </w:rPr>
              <w:t>Laborer</w:t>
            </w:r>
            <w:proofErr w:type="spellEnd"/>
          </w:p>
        </w:tc>
        <w:tc>
          <w:tcPr>
            <w:tcW w:w="965" w:type="pct"/>
            <w:vAlign w:val="bottom"/>
          </w:tcPr>
          <w:p w14:paraId="05318A78" w14:textId="77777777" w:rsidR="00F252C7" w:rsidRPr="00455747" w:rsidRDefault="00F252C7" w:rsidP="002D3DD5">
            <w:pPr>
              <w:ind w:right="-88"/>
              <w:jc w:val="center"/>
              <w:rPr>
                <w:sz w:val="16"/>
                <w:szCs w:val="16"/>
              </w:rPr>
            </w:pPr>
            <w:r w:rsidRPr="00455747">
              <w:rPr>
                <w:sz w:val="16"/>
                <w:szCs w:val="16"/>
              </w:rPr>
              <w:t>67</w:t>
            </w:r>
          </w:p>
        </w:tc>
        <w:tc>
          <w:tcPr>
            <w:tcW w:w="1460" w:type="pct"/>
            <w:vAlign w:val="bottom"/>
          </w:tcPr>
          <w:p w14:paraId="5899D663" w14:textId="044B887A" w:rsidR="00F252C7" w:rsidRPr="00455747" w:rsidRDefault="00F252C7" w:rsidP="002D3DD5">
            <w:pPr>
              <w:ind w:right="459"/>
              <w:jc w:val="center"/>
              <w:rPr>
                <w:sz w:val="16"/>
                <w:szCs w:val="16"/>
              </w:rPr>
            </w:pPr>
            <w:r w:rsidRPr="00455747">
              <w:rPr>
                <w:sz w:val="16"/>
                <w:szCs w:val="16"/>
              </w:rPr>
              <w:t>22</w:t>
            </w:r>
            <w:r w:rsidR="00FE2C3D">
              <w:rPr>
                <w:sz w:val="16"/>
                <w:szCs w:val="16"/>
              </w:rPr>
              <w:t>.</w:t>
            </w:r>
            <w:r w:rsidRPr="00455747">
              <w:rPr>
                <w:sz w:val="16"/>
                <w:szCs w:val="16"/>
              </w:rPr>
              <w:t>33</w:t>
            </w:r>
          </w:p>
        </w:tc>
      </w:tr>
      <w:tr w:rsidR="00F252C7" w:rsidRPr="00DC3DC5" w14:paraId="19E44907" w14:textId="77777777" w:rsidTr="00FE2C3D">
        <w:tc>
          <w:tcPr>
            <w:tcW w:w="2575" w:type="pct"/>
          </w:tcPr>
          <w:p w14:paraId="61E95C3E" w14:textId="3614699B" w:rsidR="00F252C7" w:rsidRPr="00455747" w:rsidRDefault="007B03C4" w:rsidP="00FE2C3D">
            <w:pPr>
              <w:ind w:firstLine="489"/>
              <w:rPr>
                <w:sz w:val="16"/>
                <w:szCs w:val="16"/>
                <w:lang w:val="en-ID"/>
              </w:rPr>
            </w:pPr>
            <w:r>
              <w:rPr>
                <w:sz w:val="16"/>
                <w:szCs w:val="16"/>
                <w:lang w:val="en-ID"/>
              </w:rPr>
              <w:t>Housewife</w:t>
            </w:r>
            <w:r w:rsidR="00F252C7" w:rsidRPr="00455747">
              <w:rPr>
                <w:sz w:val="16"/>
                <w:szCs w:val="16"/>
                <w:lang w:val="en-ID"/>
              </w:rPr>
              <w:t xml:space="preserve"> </w:t>
            </w:r>
          </w:p>
        </w:tc>
        <w:tc>
          <w:tcPr>
            <w:tcW w:w="965" w:type="pct"/>
            <w:vAlign w:val="bottom"/>
          </w:tcPr>
          <w:p w14:paraId="50849F59" w14:textId="77777777" w:rsidR="00F252C7" w:rsidRPr="00455747" w:rsidRDefault="00F252C7" w:rsidP="002D3DD5">
            <w:pPr>
              <w:ind w:right="-88"/>
              <w:jc w:val="center"/>
              <w:rPr>
                <w:sz w:val="16"/>
                <w:szCs w:val="16"/>
              </w:rPr>
            </w:pPr>
            <w:r w:rsidRPr="00455747">
              <w:rPr>
                <w:sz w:val="16"/>
                <w:szCs w:val="16"/>
              </w:rPr>
              <w:t>14</w:t>
            </w:r>
          </w:p>
        </w:tc>
        <w:tc>
          <w:tcPr>
            <w:tcW w:w="1460" w:type="pct"/>
            <w:vAlign w:val="bottom"/>
          </w:tcPr>
          <w:p w14:paraId="0AE1F798" w14:textId="2A642F46" w:rsidR="00F252C7" w:rsidRPr="00455747" w:rsidRDefault="00F252C7" w:rsidP="002D3DD5">
            <w:pPr>
              <w:ind w:right="459"/>
              <w:jc w:val="center"/>
              <w:rPr>
                <w:sz w:val="16"/>
                <w:szCs w:val="16"/>
              </w:rPr>
            </w:pPr>
            <w:r w:rsidRPr="00455747">
              <w:rPr>
                <w:sz w:val="16"/>
                <w:szCs w:val="16"/>
              </w:rPr>
              <w:t>4</w:t>
            </w:r>
            <w:r w:rsidR="00FE2C3D">
              <w:rPr>
                <w:sz w:val="16"/>
                <w:szCs w:val="16"/>
              </w:rPr>
              <w:t>.</w:t>
            </w:r>
            <w:r w:rsidRPr="00455747">
              <w:rPr>
                <w:sz w:val="16"/>
                <w:szCs w:val="16"/>
              </w:rPr>
              <w:t>68</w:t>
            </w:r>
          </w:p>
        </w:tc>
      </w:tr>
    </w:tbl>
    <w:p w14:paraId="65D25DF8" w14:textId="77777777" w:rsidR="00F252C7" w:rsidRDefault="00F252C7" w:rsidP="00F252C7">
      <w:pPr>
        <w:ind w:firstLine="720"/>
        <w:jc w:val="both"/>
      </w:pPr>
    </w:p>
    <w:p w14:paraId="7EF78051" w14:textId="3AFF28BF" w:rsidR="009A245C" w:rsidRDefault="00591820" w:rsidP="009A245C">
      <w:pPr>
        <w:ind w:firstLine="567"/>
        <w:jc w:val="both"/>
      </w:pPr>
      <w:proofErr w:type="spellStart"/>
      <w:r w:rsidRPr="00591820">
        <w:rPr>
          <w:bCs/>
          <w:lang w:val="es-MX"/>
        </w:rPr>
        <w:t>Based</w:t>
      </w:r>
      <w:proofErr w:type="spellEnd"/>
      <w:r w:rsidRPr="00591820">
        <w:rPr>
          <w:bCs/>
          <w:lang w:val="es-MX"/>
        </w:rPr>
        <w:t xml:space="preserve"> </w:t>
      </w:r>
      <w:proofErr w:type="spellStart"/>
      <w:r w:rsidRPr="00591820">
        <w:rPr>
          <w:bCs/>
          <w:lang w:val="es-MX"/>
        </w:rPr>
        <w:t>on</w:t>
      </w:r>
      <w:proofErr w:type="spellEnd"/>
      <w:r w:rsidRPr="00591820">
        <w:rPr>
          <w:bCs/>
          <w:lang w:val="es-MX"/>
        </w:rPr>
        <w:t xml:space="preserve"> </w:t>
      </w:r>
      <w:proofErr w:type="spellStart"/>
      <w:r w:rsidRPr="00591820">
        <w:rPr>
          <w:bCs/>
          <w:lang w:val="es-MX"/>
        </w:rPr>
        <w:t>the</w:t>
      </w:r>
      <w:proofErr w:type="spellEnd"/>
      <w:r w:rsidRPr="00591820">
        <w:rPr>
          <w:bCs/>
          <w:lang w:val="es-MX"/>
        </w:rPr>
        <w:t xml:space="preserve"> </w:t>
      </w:r>
      <w:proofErr w:type="spellStart"/>
      <w:r w:rsidRPr="00591820">
        <w:rPr>
          <w:bCs/>
          <w:lang w:val="es-MX"/>
        </w:rPr>
        <w:t>results</w:t>
      </w:r>
      <w:proofErr w:type="spellEnd"/>
      <w:r w:rsidRPr="00591820">
        <w:rPr>
          <w:bCs/>
          <w:lang w:val="es-MX"/>
        </w:rPr>
        <w:t xml:space="preserve"> </w:t>
      </w:r>
      <w:proofErr w:type="spellStart"/>
      <w:r w:rsidRPr="00591820">
        <w:rPr>
          <w:bCs/>
          <w:lang w:val="es-MX"/>
        </w:rPr>
        <w:t>of</w:t>
      </w:r>
      <w:proofErr w:type="spellEnd"/>
      <w:r w:rsidRPr="00591820">
        <w:rPr>
          <w:bCs/>
          <w:lang w:val="es-MX"/>
        </w:rPr>
        <w:t xml:space="preserve"> </w:t>
      </w:r>
      <w:proofErr w:type="spellStart"/>
      <w:r w:rsidRPr="00591820">
        <w:rPr>
          <w:bCs/>
          <w:lang w:val="es-MX"/>
        </w:rPr>
        <w:t>the</w:t>
      </w:r>
      <w:proofErr w:type="spellEnd"/>
      <w:r w:rsidRPr="00591820">
        <w:rPr>
          <w:bCs/>
          <w:lang w:val="es-MX"/>
        </w:rPr>
        <w:t xml:space="preserve"> </w:t>
      </w:r>
      <w:proofErr w:type="spellStart"/>
      <w:r w:rsidRPr="00591820">
        <w:rPr>
          <w:bCs/>
          <w:lang w:val="es-MX"/>
        </w:rPr>
        <w:t>bivariate</w:t>
      </w:r>
      <w:proofErr w:type="spellEnd"/>
      <w:r w:rsidRPr="00591820">
        <w:rPr>
          <w:bCs/>
          <w:lang w:val="es-MX"/>
        </w:rPr>
        <w:t xml:space="preserve"> </w:t>
      </w:r>
      <w:proofErr w:type="spellStart"/>
      <w:r w:rsidRPr="00591820">
        <w:rPr>
          <w:bCs/>
          <w:lang w:val="es-MX"/>
        </w:rPr>
        <w:t>analysis</w:t>
      </w:r>
      <w:proofErr w:type="spellEnd"/>
      <w:r w:rsidRPr="00591820">
        <w:rPr>
          <w:bCs/>
          <w:lang w:val="es-MX"/>
        </w:rPr>
        <w:t xml:space="preserve">, </w:t>
      </w:r>
      <w:proofErr w:type="spellStart"/>
      <w:r w:rsidRPr="00591820">
        <w:rPr>
          <w:bCs/>
          <w:lang w:val="es-MX"/>
        </w:rPr>
        <w:t>it</w:t>
      </w:r>
      <w:proofErr w:type="spellEnd"/>
      <w:r w:rsidRPr="00591820">
        <w:rPr>
          <w:bCs/>
          <w:lang w:val="es-MX"/>
        </w:rPr>
        <w:t xml:space="preserve"> </w:t>
      </w:r>
      <w:proofErr w:type="spellStart"/>
      <w:r w:rsidRPr="00591820">
        <w:rPr>
          <w:bCs/>
          <w:lang w:val="es-MX"/>
        </w:rPr>
        <w:t>was</w:t>
      </w:r>
      <w:proofErr w:type="spellEnd"/>
      <w:r w:rsidRPr="00591820">
        <w:rPr>
          <w:bCs/>
          <w:lang w:val="es-MX"/>
        </w:rPr>
        <w:t xml:space="preserve"> </w:t>
      </w:r>
      <w:proofErr w:type="spellStart"/>
      <w:r w:rsidRPr="00591820">
        <w:rPr>
          <w:bCs/>
          <w:lang w:val="es-MX"/>
        </w:rPr>
        <w:t>found</w:t>
      </w:r>
      <w:proofErr w:type="spellEnd"/>
      <w:r w:rsidRPr="00591820">
        <w:rPr>
          <w:bCs/>
          <w:lang w:val="es-MX"/>
        </w:rPr>
        <w:t xml:space="preserve"> </w:t>
      </w:r>
      <w:proofErr w:type="spellStart"/>
      <w:r w:rsidRPr="00591820">
        <w:rPr>
          <w:bCs/>
          <w:lang w:val="es-MX"/>
        </w:rPr>
        <w:t>that</w:t>
      </w:r>
      <w:proofErr w:type="spellEnd"/>
      <w:r w:rsidRPr="00591820">
        <w:rPr>
          <w:bCs/>
          <w:lang w:val="es-MX"/>
        </w:rPr>
        <w:t xml:space="preserve"> </w:t>
      </w:r>
      <w:proofErr w:type="spellStart"/>
      <w:r w:rsidRPr="00591820">
        <w:rPr>
          <w:bCs/>
          <w:lang w:val="es-MX"/>
        </w:rPr>
        <w:t>parents</w:t>
      </w:r>
      <w:proofErr w:type="spellEnd"/>
      <w:r w:rsidRPr="00591820">
        <w:rPr>
          <w:bCs/>
          <w:lang w:val="es-MX"/>
        </w:rPr>
        <w:t xml:space="preserve"> </w:t>
      </w:r>
      <w:proofErr w:type="spellStart"/>
      <w:r w:rsidRPr="00591820">
        <w:rPr>
          <w:bCs/>
          <w:lang w:val="es-MX"/>
        </w:rPr>
        <w:t>who</w:t>
      </w:r>
      <w:proofErr w:type="spellEnd"/>
      <w:r w:rsidRPr="00591820">
        <w:rPr>
          <w:bCs/>
          <w:lang w:val="es-MX"/>
        </w:rPr>
        <w:t xml:space="preserve"> </w:t>
      </w:r>
      <w:proofErr w:type="spellStart"/>
      <w:r w:rsidRPr="00591820">
        <w:rPr>
          <w:bCs/>
          <w:lang w:val="es-MX"/>
        </w:rPr>
        <w:t>had</w:t>
      </w:r>
      <w:proofErr w:type="spellEnd"/>
      <w:r w:rsidRPr="00591820">
        <w:rPr>
          <w:bCs/>
          <w:lang w:val="es-MX"/>
        </w:rPr>
        <w:t xml:space="preserve"> </w:t>
      </w:r>
      <w:proofErr w:type="spellStart"/>
      <w:r w:rsidRPr="00591820">
        <w:rPr>
          <w:bCs/>
          <w:lang w:val="es-MX"/>
        </w:rPr>
        <w:t>not</w:t>
      </w:r>
      <w:proofErr w:type="spellEnd"/>
      <w:r w:rsidRPr="00591820">
        <w:rPr>
          <w:bCs/>
          <w:lang w:val="es-MX"/>
        </w:rPr>
        <w:t xml:space="preserve"> </w:t>
      </w:r>
      <w:proofErr w:type="spellStart"/>
      <w:r w:rsidRPr="00591820">
        <w:rPr>
          <w:bCs/>
          <w:lang w:val="es-MX"/>
        </w:rPr>
        <w:t>provided</w:t>
      </w:r>
      <w:proofErr w:type="spellEnd"/>
      <w:r w:rsidRPr="00591820">
        <w:rPr>
          <w:bCs/>
          <w:lang w:val="es-MX"/>
        </w:rPr>
        <w:t xml:space="preserve"> comprehensive </w:t>
      </w:r>
      <w:proofErr w:type="spellStart"/>
      <w:r w:rsidRPr="00591820">
        <w:rPr>
          <w:bCs/>
          <w:lang w:val="es-MX"/>
        </w:rPr>
        <w:t>information</w:t>
      </w:r>
      <w:proofErr w:type="spellEnd"/>
      <w:r w:rsidRPr="00591820">
        <w:rPr>
          <w:bCs/>
          <w:lang w:val="es-MX"/>
        </w:rPr>
        <w:t xml:space="preserve"> </w:t>
      </w:r>
      <w:proofErr w:type="spellStart"/>
      <w:r w:rsidRPr="00591820">
        <w:rPr>
          <w:bCs/>
          <w:lang w:val="es-MX"/>
        </w:rPr>
        <w:t>on</w:t>
      </w:r>
      <w:proofErr w:type="spellEnd"/>
      <w:r w:rsidRPr="00591820">
        <w:rPr>
          <w:bCs/>
          <w:lang w:val="es-MX"/>
        </w:rPr>
        <w:t xml:space="preserve"> reproductive </w:t>
      </w:r>
      <w:proofErr w:type="spellStart"/>
      <w:r w:rsidRPr="00591820">
        <w:rPr>
          <w:bCs/>
          <w:lang w:val="es-MX"/>
        </w:rPr>
        <w:t>health</w:t>
      </w:r>
      <w:proofErr w:type="spellEnd"/>
      <w:r w:rsidRPr="00591820">
        <w:rPr>
          <w:bCs/>
          <w:lang w:val="es-MX"/>
        </w:rPr>
        <w:t xml:space="preserve"> and </w:t>
      </w:r>
      <w:proofErr w:type="spellStart"/>
      <w:r w:rsidRPr="00591820">
        <w:rPr>
          <w:bCs/>
          <w:lang w:val="es-MX"/>
        </w:rPr>
        <w:t>sexuality</w:t>
      </w:r>
      <w:proofErr w:type="spellEnd"/>
      <w:r w:rsidRPr="00591820">
        <w:rPr>
          <w:bCs/>
          <w:lang w:val="es-MX"/>
        </w:rPr>
        <w:t xml:space="preserve"> tended </w:t>
      </w:r>
      <w:proofErr w:type="spellStart"/>
      <w:r w:rsidRPr="00591820">
        <w:rPr>
          <w:bCs/>
          <w:lang w:val="es-MX"/>
        </w:rPr>
        <w:t>to</w:t>
      </w:r>
      <w:proofErr w:type="spellEnd"/>
      <w:r w:rsidRPr="00591820">
        <w:rPr>
          <w:bCs/>
          <w:lang w:val="es-MX"/>
        </w:rPr>
        <w:t xml:space="preserve"> </w:t>
      </w:r>
      <w:proofErr w:type="spellStart"/>
      <w:r w:rsidRPr="00591820">
        <w:rPr>
          <w:bCs/>
          <w:lang w:val="es-MX"/>
        </w:rPr>
        <w:t>have</w:t>
      </w:r>
      <w:proofErr w:type="spellEnd"/>
      <w:r w:rsidRPr="00591820">
        <w:rPr>
          <w:bCs/>
          <w:lang w:val="es-MX"/>
        </w:rPr>
        <w:t xml:space="preserve"> </w:t>
      </w:r>
      <w:proofErr w:type="spellStart"/>
      <w:r w:rsidRPr="00591820">
        <w:rPr>
          <w:bCs/>
          <w:lang w:val="es-MX"/>
        </w:rPr>
        <w:t>low</w:t>
      </w:r>
      <w:proofErr w:type="spellEnd"/>
      <w:r w:rsidRPr="00591820">
        <w:rPr>
          <w:bCs/>
          <w:lang w:val="es-MX"/>
        </w:rPr>
        <w:t xml:space="preserve"> </w:t>
      </w:r>
      <w:proofErr w:type="spellStart"/>
      <w:r w:rsidRPr="00591820">
        <w:rPr>
          <w:bCs/>
          <w:lang w:val="es-MX"/>
        </w:rPr>
        <w:t>self-confidence</w:t>
      </w:r>
      <w:proofErr w:type="spellEnd"/>
      <w:r w:rsidRPr="00591820">
        <w:rPr>
          <w:bCs/>
          <w:lang w:val="es-MX"/>
        </w:rPr>
        <w:t xml:space="preserve">, </w:t>
      </w:r>
      <w:proofErr w:type="spellStart"/>
      <w:r w:rsidRPr="00591820">
        <w:rPr>
          <w:bCs/>
          <w:lang w:val="es-MX"/>
        </w:rPr>
        <w:t>namely</w:t>
      </w:r>
      <w:proofErr w:type="spellEnd"/>
      <w:r w:rsidRPr="00591820">
        <w:rPr>
          <w:bCs/>
          <w:lang w:val="es-MX"/>
        </w:rPr>
        <w:t xml:space="preserve"> 70 </w:t>
      </w:r>
      <w:proofErr w:type="spellStart"/>
      <w:r w:rsidRPr="00591820">
        <w:rPr>
          <w:bCs/>
          <w:lang w:val="es-MX"/>
        </w:rPr>
        <w:t>parents</w:t>
      </w:r>
      <w:proofErr w:type="spellEnd"/>
      <w:r w:rsidRPr="00591820">
        <w:rPr>
          <w:bCs/>
          <w:lang w:val="es-MX"/>
        </w:rPr>
        <w:t xml:space="preserve"> (78.7%), </w:t>
      </w:r>
      <w:proofErr w:type="spellStart"/>
      <w:r w:rsidRPr="00591820">
        <w:rPr>
          <w:bCs/>
          <w:lang w:val="es-MX"/>
        </w:rPr>
        <w:t>low</w:t>
      </w:r>
      <w:proofErr w:type="spellEnd"/>
      <w:r w:rsidRPr="00591820">
        <w:rPr>
          <w:bCs/>
          <w:lang w:val="es-MX"/>
        </w:rPr>
        <w:t xml:space="preserve"> </w:t>
      </w:r>
      <w:proofErr w:type="spellStart"/>
      <w:r w:rsidRPr="00591820">
        <w:rPr>
          <w:bCs/>
          <w:lang w:val="es-MX"/>
        </w:rPr>
        <w:t>partner</w:t>
      </w:r>
      <w:proofErr w:type="spellEnd"/>
      <w:r w:rsidRPr="00591820">
        <w:rPr>
          <w:bCs/>
          <w:lang w:val="es-MX"/>
        </w:rPr>
        <w:t xml:space="preserve"> </w:t>
      </w:r>
      <w:proofErr w:type="spellStart"/>
      <w:r w:rsidRPr="00591820">
        <w:rPr>
          <w:bCs/>
          <w:lang w:val="es-MX"/>
        </w:rPr>
        <w:t>support</w:t>
      </w:r>
      <w:proofErr w:type="spellEnd"/>
      <w:r w:rsidRPr="00591820">
        <w:rPr>
          <w:bCs/>
          <w:lang w:val="es-MX"/>
        </w:rPr>
        <w:t xml:space="preserve"> as </w:t>
      </w:r>
      <w:proofErr w:type="spellStart"/>
      <w:r w:rsidRPr="00591820">
        <w:rPr>
          <w:bCs/>
          <w:lang w:val="es-MX"/>
        </w:rPr>
        <w:t>many</w:t>
      </w:r>
      <w:proofErr w:type="spellEnd"/>
      <w:r w:rsidRPr="00591820">
        <w:rPr>
          <w:bCs/>
          <w:lang w:val="es-MX"/>
        </w:rPr>
        <w:t xml:space="preserve"> as 82 </w:t>
      </w:r>
      <w:proofErr w:type="spellStart"/>
      <w:r w:rsidRPr="00591820">
        <w:rPr>
          <w:bCs/>
          <w:lang w:val="es-MX"/>
        </w:rPr>
        <w:t>parents</w:t>
      </w:r>
      <w:proofErr w:type="spellEnd"/>
      <w:r w:rsidRPr="00591820">
        <w:rPr>
          <w:bCs/>
          <w:lang w:val="es-MX"/>
        </w:rPr>
        <w:t xml:space="preserve"> (73.9%), and </w:t>
      </w:r>
      <w:proofErr w:type="spellStart"/>
      <w:r w:rsidRPr="00591820">
        <w:rPr>
          <w:bCs/>
          <w:lang w:val="es-MX"/>
        </w:rPr>
        <w:t>have</w:t>
      </w:r>
      <w:proofErr w:type="spellEnd"/>
      <w:r w:rsidRPr="00591820">
        <w:rPr>
          <w:bCs/>
          <w:lang w:val="es-MX"/>
        </w:rPr>
        <w:t xml:space="preserve"> a </w:t>
      </w:r>
      <w:proofErr w:type="spellStart"/>
      <w:r w:rsidRPr="00591820">
        <w:rPr>
          <w:bCs/>
          <w:lang w:val="es-MX"/>
        </w:rPr>
        <w:t>high</w:t>
      </w:r>
      <w:proofErr w:type="spellEnd"/>
      <w:r w:rsidRPr="00591820">
        <w:rPr>
          <w:bCs/>
          <w:lang w:val="es-MX"/>
        </w:rPr>
        <w:t xml:space="preserve"> </w:t>
      </w:r>
      <w:proofErr w:type="spellStart"/>
      <w:r w:rsidRPr="00591820">
        <w:rPr>
          <w:bCs/>
          <w:lang w:val="es-MX"/>
        </w:rPr>
        <w:t>perception</w:t>
      </w:r>
      <w:proofErr w:type="spellEnd"/>
      <w:r w:rsidRPr="00591820">
        <w:rPr>
          <w:bCs/>
          <w:lang w:val="es-MX"/>
        </w:rPr>
        <w:t xml:space="preserve"> </w:t>
      </w:r>
      <w:proofErr w:type="spellStart"/>
      <w:r w:rsidRPr="00591820">
        <w:rPr>
          <w:bCs/>
          <w:lang w:val="es-MX"/>
        </w:rPr>
        <w:t>of</w:t>
      </w:r>
      <w:proofErr w:type="spellEnd"/>
      <w:r w:rsidRPr="00591820">
        <w:rPr>
          <w:bCs/>
          <w:lang w:val="es-MX"/>
        </w:rPr>
        <w:t xml:space="preserve"> </w:t>
      </w:r>
      <w:proofErr w:type="spellStart"/>
      <w:r w:rsidRPr="00591820">
        <w:rPr>
          <w:bCs/>
          <w:lang w:val="es-MX"/>
        </w:rPr>
        <w:t>barriers</w:t>
      </w:r>
      <w:proofErr w:type="spellEnd"/>
      <w:r w:rsidRPr="00591820">
        <w:rPr>
          <w:bCs/>
          <w:lang w:val="es-MX"/>
        </w:rPr>
        <w:t xml:space="preserve"> as </w:t>
      </w:r>
      <w:proofErr w:type="spellStart"/>
      <w:r w:rsidRPr="00591820">
        <w:rPr>
          <w:bCs/>
          <w:lang w:val="es-MX"/>
        </w:rPr>
        <w:t>many</w:t>
      </w:r>
      <w:proofErr w:type="spellEnd"/>
      <w:r w:rsidRPr="00591820">
        <w:rPr>
          <w:bCs/>
          <w:lang w:val="es-MX"/>
        </w:rPr>
        <w:t xml:space="preserve"> as 80 </w:t>
      </w:r>
      <w:proofErr w:type="spellStart"/>
      <w:r w:rsidRPr="00591820">
        <w:rPr>
          <w:bCs/>
          <w:lang w:val="es-MX"/>
        </w:rPr>
        <w:t>parents</w:t>
      </w:r>
      <w:proofErr w:type="spellEnd"/>
      <w:r w:rsidRPr="00591820">
        <w:rPr>
          <w:bCs/>
          <w:lang w:val="es-MX"/>
        </w:rPr>
        <w:t xml:space="preserve"> (48.8%).</w:t>
      </w:r>
      <w:r w:rsidR="00615544" w:rsidRPr="00D563AC">
        <w:t xml:space="preserve"> </w:t>
      </w:r>
    </w:p>
    <w:p w14:paraId="526BD76C" w14:textId="0F8BDEA7" w:rsidR="00F252C7" w:rsidRPr="001D1058" w:rsidRDefault="00591820" w:rsidP="000976A7">
      <w:pPr>
        <w:ind w:firstLine="567"/>
        <w:jc w:val="both"/>
        <w:rPr>
          <w:bCs/>
        </w:rPr>
      </w:pPr>
      <w:r w:rsidRPr="00591820">
        <w:rPr>
          <w:bCs/>
        </w:rPr>
        <w:t xml:space="preserve">The topics most given to adolescents were pregnancy, pregnancy prevention and HIV/AIDS (58.7%). Giving this topic is very useful to increase the knowledge of adolescents so that they can prevent HIV risk behavior </w:t>
      </w:r>
      <w:r w:rsidR="00824B9B">
        <w:rPr>
          <w:bCs/>
        </w:rPr>
        <w:fldChar w:fldCharType="begin" w:fldLock="1"/>
      </w:r>
      <w:r w:rsidR="00542D39">
        <w:rPr>
          <w:bCs/>
        </w:rPr>
        <w:instrText>ADDIN CSL_CITATION {"citationItems":[{"id":"ITEM-1","itemData":{"author":[{"dropping-particle":"","family":"Kusumaningrum","given":"Tanjung Anitasari Indah","non-dropping-particle":"","parse-names":false,"suffix":""},{"dropping-particle":"","family":"Sholekhah","given":"Banun Afidhotus","non-dropping-particle":"","parse-names":false,"suffix":""}],"container-title":"Seminar nasional kesehatan masyarakat UMS","id":"ITEM-1","issued":{"date-parts":[["2019"]]},"page":"73-85","title":"Akses Informasi Mengenai HIV/AIDS pada Mahasiswa Universitas Muhammadiyah Surakarta","type":"paper-conference"},"uris":["http://www.mendeley.com/documents/?uuid=eadb4e2e-f76f-4bb8-ae30-5fc0e5eb4ae9"]}],"mendeley":{"formattedCitation":"[19]","plainTextFormattedCitation":"[19]","previouslyFormattedCitation":"[17]"},"properties":{"noteIndex":0},"schema":"https://github.com/citation-style-language/schema/raw/master/csl-citation.json"}</w:instrText>
      </w:r>
      <w:r w:rsidR="00824B9B">
        <w:rPr>
          <w:bCs/>
        </w:rPr>
        <w:fldChar w:fldCharType="separate"/>
      </w:r>
      <w:r w:rsidR="00542D39" w:rsidRPr="00542D39">
        <w:rPr>
          <w:bCs/>
          <w:noProof/>
        </w:rPr>
        <w:t>[19]</w:t>
      </w:r>
      <w:r w:rsidR="00824B9B">
        <w:rPr>
          <w:bCs/>
        </w:rPr>
        <w:fldChar w:fldCharType="end"/>
      </w:r>
      <w:r w:rsidR="00824B9B">
        <w:rPr>
          <w:bCs/>
        </w:rPr>
        <w:t xml:space="preserve">. </w:t>
      </w:r>
      <w:r w:rsidRPr="00591820">
        <w:rPr>
          <w:bCs/>
        </w:rPr>
        <w:t xml:space="preserve">Meanwhile, topics that are still not given to adolescents are related to gender and skills to maintain and improve reproductive health status. The topic that is still not given to teenagers is very important, if the material is not provided then the skills of adolescents to prevent premarital sex will be lacking </w:t>
      </w:r>
      <w:r w:rsidR="003E26CB">
        <w:rPr>
          <w:bCs/>
        </w:rPr>
        <w:fldChar w:fldCharType="begin" w:fldLock="1"/>
      </w:r>
      <w:r w:rsidR="00542D39">
        <w:rPr>
          <w:bCs/>
        </w:rPr>
        <w:instrText>ADDIN CSL_CITATION {"citationItems":[{"id":"ITEM-1","itemData":{"DOI":"10.9745/GHSP-D-15-00126","ISSN":"2169575X","PMID":"26374795","author":[{"dropping-particle":"","family":"Chandra-Mouli","given":"Venkatraman","non-dropping-particle":"","parse-names":false,"suffix":""},{"dropping-particle":"","family":"Lane","given":"Catherine","non-dropping-particle":"","parse-names":false,"suffix":""},{"dropping-particle":"","family":"Wong","given":"Sylvia","non-dropping-particle":"","parse-names":false,"suffix":""}],"container-title":"Global Health Science and Practice","id":"ITEM-1","issue":"3","issued":{"date-parts":[["2015"]]},"page":"333-340","title":"What does not work in adolescent sexual and reproductive health: A review of evidence on interventions commonly accepted as best practices","type":"article-journal","volume":"3"},"uris":["http://www.mendeley.com/documents/?uuid=5f020a1f-bfbf-42e0-83f2-166d0716599d"]}],"mendeley":{"formattedCitation":"[20]","plainTextFormattedCitation":"[20]","previouslyFormattedCitation":"[18]"},"properties":{"noteIndex":0},"schema":"https://github.com/citation-style-language/schema/raw/master/csl-citation.json"}</w:instrText>
      </w:r>
      <w:r w:rsidR="003E26CB">
        <w:rPr>
          <w:bCs/>
        </w:rPr>
        <w:fldChar w:fldCharType="separate"/>
      </w:r>
      <w:r w:rsidR="00542D39" w:rsidRPr="00542D39">
        <w:rPr>
          <w:bCs/>
          <w:noProof/>
        </w:rPr>
        <w:t>[20]</w:t>
      </w:r>
      <w:r w:rsidR="003E26CB">
        <w:rPr>
          <w:bCs/>
        </w:rPr>
        <w:fldChar w:fldCharType="end"/>
      </w:r>
      <w:r w:rsidR="006B56D7">
        <w:rPr>
          <w:bCs/>
        </w:rPr>
        <w:t xml:space="preserve">. </w:t>
      </w:r>
      <w:r w:rsidRPr="00591820">
        <w:rPr>
          <w:bCs/>
        </w:rPr>
        <w:t>There are several factors that can affect the provision of reproductive health information to adolescents which can be seen in Table 2</w:t>
      </w:r>
      <w:r w:rsidR="00CC630B">
        <w:rPr>
          <w:bCs/>
        </w:rPr>
        <w:t xml:space="preserve">. </w:t>
      </w:r>
    </w:p>
    <w:p w14:paraId="45E33CA7" w14:textId="03E96D56" w:rsidR="00FE2C3D" w:rsidRDefault="00FE2C3D">
      <w:pPr>
        <w:rPr>
          <w:b/>
          <w:lang w:val="es-MX"/>
        </w:rPr>
      </w:pPr>
    </w:p>
    <w:p w14:paraId="2D14265A" w14:textId="77777777" w:rsidR="00591820" w:rsidRDefault="00591820">
      <w:pPr>
        <w:rPr>
          <w:b/>
          <w:lang w:val="es-MX"/>
        </w:rPr>
      </w:pPr>
    </w:p>
    <w:p w14:paraId="0E342C65" w14:textId="637922DD" w:rsidR="00F252C7" w:rsidRPr="00221074" w:rsidRDefault="00F252C7" w:rsidP="00F252C7">
      <w:pPr>
        <w:spacing w:before="120"/>
        <w:ind w:left="1276" w:hanging="1276"/>
        <w:jc w:val="both"/>
        <w:rPr>
          <w:lang w:eastAsia="ja-JP"/>
        </w:rPr>
      </w:pPr>
      <w:r w:rsidRPr="00414499">
        <w:rPr>
          <w:bCs/>
          <w:lang w:val="es-MX"/>
        </w:rPr>
        <w:lastRenderedPageBreak/>
        <w:t>Tab</w:t>
      </w:r>
      <w:r w:rsidR="00591820">
        <w:rPr>
          <w:bCs/>
          <w:lang w:val="es-MX"/>
        </w:rPr>
        <w:t>le</w:t>
      </w:r>
      <w:r w:rsidRPr="00414499">
        <w:rPr>
          <w:bCs/>
          <w:lang w:val="es-MX"/>
        </w:rPr>
        <w:t xml:space="preserve"> 2.</w:t>
      </w:r>
      <w:r w:rsidRPr="00D563AC">
        <w:rPr>
          <w:lang w:val="id-ID"/>
        </w:rPr>
        <w:tab/>
      </w:r>
      <w:proofErr w:type="spellStart"/>
      <w:r w:rsidR="007E3AF5" w:rsidRPr="007E3AF5">
        <w:rPr>
          <w:lang w:val="es-MX"/>
        </w:rPr>
        <w:t>Relationship</w:t>
      </w:r>
      <w:proofErr w:type="spellEnd"/>
      <w:r w:rsidR="007E3AF5" w:rsidRPr="007E3AF5">
        <w:rPr>
          <w:lang w:val="es-MX"/>
        </w:rPr>
        <w:t xml:space="preserve"> </w:t>
      </w:r>
      <w:proofErr w:type="spellStart"/>
      <w:r w:rsidR="007E3AF5" w:rsidRPr="007E3AF5">
        <w:rPr>
          <w:lang w:val="es-MX"/>
        </w:rPr>
        <w:t>of</w:t>
      </w:r>
      <w:proofErr w:type="spellEnd"/>
      <w:r w:rsidR="007E3AF5" w:rsidRPr="007E3AF5">
        <w:rPr>
          <w:lang w:val="es-MX"/>
        </w:rPr>
        <w:t xml:space="preserve"> </w:t>
      </w:r>
      <w:proofErr w:type="spellStart"/>
      <w:r w:rsidR="007E3AF5" w:rsidRPr="007E3AF5">
        <w:rPr>
          <w:lang w:val="es-MX"/>
        </w:rPr>
        <w:t>Confidence</w:t>
      </w:r>
      <w:proofErr w:type="spellEnd"/>
      <w:r w:rsidR="007E3AF5" w:rsidRPr="007E3AF5">
        <w:rPr>
          <w:lang w:val="es-MX"/>
        </w:rPr>
        <w:t xml:space="preserve">, </w:t>
      </w:r>
      <w:proofErr w:type="spellStart"/>
      <w:r w:rsidR="007E3AF5" w:rsidRPr="007E3AF5">
        <w:rPr>
          <w:lang w:val="es-MX"/>
        </w:rPr>
        <w:t>Spouse</w:t>
      </w:r>
      <w:proofErr w:type="spellEnd"/>
      <w:r w:rsidR="007E3AF5" w:rsidRPr="007E3AF5">
        <w:rPr>
          <w:lang w:val="es-MX"/>
        </w:rPr>
        <w:t xml:space="preserve"> </w:t>
      </w:r>
      <w:proofErr w:type="spellStart"/>
      <w:r w:rsidR="007E3AF5" w:rsidRPr="007E3AF5">
        <w:rPr>
          <w:lang w:val="es-MX"/>
        </w:rPr>
        <w:t>Support</w:t>
      </w:r>
      <w:proofErr w:type="spellEnd"/>
      <w:r w:rsidR="007E3AF5" w:rsidRPr="007E3AF5">
        <w:rPr>
          <w:lang w:val="es-MX"/>
        </w:rPr>
        <w:t xml:space="preserve">, and </w:t>
      </w:r>
      <w:proofErr w:type="spellStart"/>
      <w:r w:rsidR="007E3AF5" w:rsidRPr="007E3AF5">
        <w:rPr>
          <w:lang w:val="es-MX"/>
        </w:rPr>
        <w:t>Perception</w:t>
      </w:r>
      <w:proofErr w:type="spellEnd"/>
      <w:r w:rsidR="007E3AF5" w:rsidRPr="007E3AF5">
        <w:rPr>
          <w:lang w:val="es-MX"/>
        </w:rPr>
        <w:t xml:space="preserve"> </w:t>
      </w:r>
      <w:proofErr w:type="spellStart"/>
      <w:r w:rsidR="007E3AF5" w:rsidRPr="007E3AF5">
        <w:rPr>
          <w:lang w:val="es-MX"/>
        </w:rPr>
        <w:t>of</w:t>
      </w:r>
      <w:proofErr w:type="spellEnd"/>
      <w:r w:rsidR="007E3AF5" w:rsidRPr="007E3AF5">
        <w:rPr>
          <w:lang w:val="es-MX"/>
        </w:rPr>
        <w:t xml:space="preserve"> </w:t>
      </w:r>
      <w:proofErr w:type="spellStart"/>
      <w:r w:rsidR="007E3AF5" w:rsidRPr="007E3AF5">
        <w:rPr>
          <w:lang w:val="es-MX"/>
        </w:rPr>
        <w:t>Barriers</w:t>
      </w:r>
      <w:proofErr w:type="spellEnd"/>
      <w:r w:rsidR="007E3AF5" w:rsidRPr="007E3AF5">
        <w:rPr>
          <w:lang w:val="es-MX"/>
        </w:rPr>
        <w:t xml:space="preserve"> </w:t>
      </w:r>
      <w:proofErr w:type="spellStart"/>
      <w:r w:rsidR="007E3AF5" w:rsidRPr="007E3AF5">
        <w:rPr>
          <w:lang w:val="es-MX"/>
        </w:rPr>
        <w:t>to</w:t>
      </w:r>
      <w:proofErr w:type="spellEnd"/>
      <w:r w:rsidR="007E3AF5" w:rsidRPr="007E3AF5">
        <w:rPr>
          <w:lang w:val="es-MX"/>
        </w:rPr>
        <w:t xml:space="preserve"> </w:t>
      </w:r>
      <w:proofErr w:type="spellStart"/>
      <w:r w:rsidR="007E3AF5" w:rsidRPr="007E3AF5">
        <w:rPr>
          <w:lang w:val="es-MX"/>
        </w:rPr>
        <w:t>Behavior</w:t>
      </w:r>
      <w:proofErr w:type="spellEnd"/>
      <w:r w:rsidR="007E3AF5" w:rsidRPr="007E3AF5">
        <w:rPr>
          <w:lang w:val="es-MX"/>
        </w:rPr>
        <w:t xml:space="preserve"> </w:t>
      </w:r>
      <w:proofErr w:type="spellStart"/>
      <w:r w:rsidR="007E3AF5" w:rsidRPr="007E3AF5">
        <w:rPr>
          <w:lang w:val="es-MX"/>
        </w:rPr>
        <w:t>of</w:t>
      </w:r>
      <w:proofErr w:type="spellEnd"/>
      <w:r w:rsidR="007E3AF5" w:rsidRPr="007E3AF5">
        <w:rPr>
          <w:lang w:val="es-MX"/>
        </w:rPr>
        <w:t xml:space="preserve"> </w:t>
      </w:r>
      <w:proofErr w:type="spellStart"/>
      <w:r w:rsidR="007E3AF5" w:rsidRPr="007E3AF5">
        <w:rPr>
          <w:lang w:val="es-MX"/>
        </w:rPr>
        <w:t>Providing</w:t>
      </w:r>
      <w:proofErr w:type="spellEnd"/>
      <w:r w:rsidR="007E3AF5" w:rsidRPr="007E3AF5">
        <w:rPr>
          <w:lang w:val="es-MX"/>
        </w:rPr>
        <w:t xml:space="preserve"> Sexual and Reproductive </w:t>
      </w:r>
      <w:proofErr w:type="spellStart"/>
      <w:r w:rsidR="007E3AF5" w:rsidRPr="007E3AF5">
        <w:rPr>
          <w:lang w:val="es-MX"/>
        </w:rPr>
        <w:t>Health</w:t>
      </w:r>
      <w:proofErr w:type="spellEnd"/>
      <w:r w:rsidR="007E3AF5" w:rsidRPr="007E3AF5">
        <w:rPr>
          <w:lang w:val="es-MX"/>
        </w:rPr>
        <w:t xml:space="preserve"> </w:t>
      </w:r>
      <w:proofErr w:type="spellStart"/>
      <w:r w:rsidR="007E3AF5" w:rsidRPr="007E3AF5">
        <w:rPr>
          <w:lang w:val="es-MX"/>
        </w:rPr>
        <w:t>Information</w:t>
      </w:r>
      <w:proofErr w:type="spellEnd"/>
      <w:r w:rsidR="007E3AF5" w:rsidRPr="007E3AF5">
        <w:rPr>
          <w:lang w:val="es-MX"/>
        </w:rPr>
        <w:t xml:space="preserve"> </w:t>
      </w:r>
      <w:proofErr w:type="spellStart"/>
      <w:r w:rsidR="007E3AF5" w:rsidRPr="007E3AF5">
        <w:rPr>
          <w:lang w:val="es-MX"/>
        </w:rPr>
        <w:t>to</w:t>
      </w:r>
      <w:proofErr w:type="spellEnd"/>
      <w:r w:rsidR="007E3AF5" w:rsidRPr="007E3AF5">
        <w:rPr>
          <w:lang w:val="es-MX"/>
        </w:rPr>
        <w:t xml:space="preserve"> </w:t>
      </w:r>
      <w:proofErr w:type="spellStart"/>
      <w:r w:rsidR="007E3AF5" w:rsidRPr="007E3AF5">
        <w:rPr>
          <w:lang w:val="es-MX"/>
        </w:rPr>
        <w:t>Adolescents</w:t>
      </w:r>
      <w:proofErr w:type="spellEnd"/>
    </w:p>
    <w:tbl>
      <w:tblPr>
        <w:tblW w:w="8790" w:type="dxa"/>
        <w:tblBorders>
          <w:top w:val="single" w:sz="4" w:space="0" w:color="000000"/>
          <w:bottom w:val="single" w:sz="4" w:space="0" w:color="000000"/>
          <w:insideH w:val="single" w:sz="4" w:space="0" w:color="000000"/>
        </w:tblBorders>
        <w:tblLayout w:type="fixed"/>
        <w:tblLook w:val="04A0" w:firstRow="1" w:lastRow="0" w:firstColumn="1" w:lastColumn="0" w:noHBand="0" w:noVBand="1"/>
      </w:tblPr>
      <w:tblGrid>
        <w:gridCol w:w="1560"/>
        <w:gridCol w:w="709"/>
        <w:gridCol w:w="993"/>
        <w:gridCol w:w="709"/>
        <w:gridCol w:w="1135"/>
        <w:gridCol w:w="564"/>
        <w:gridCol w:w="567"/>
        <w:gridCol w:w="1418"/>
        <w:gridCol w:w="1135"/>
      </w:tblGrid>
      <w:tr w:rsidR="00455747" w14:paraId="67F42F54" w14:textId="77777777" w:rsidTr="00FE2C3D">
        <w:tc>
          <w:tcPr>
            <w:tcW w:w="1560" w:type="dxa"/>
            <w:vMerge w:val="restart"/>
            <w:tcBorders>
              <w:top w:val="single" w:sz="4" w:space="0" w:color="000000"/>
              <w:left w:val="nil"/>
              <w:bottom w:val="single" w:sz="4" w:space="0" w:color="auto"/>
              <w:right w:val="nil"/>
            </w:tcBorders>
            <w:vAlign w:val="center"/>
            <w:hideMark/>
          </w:tcPr>
          <w:p w14:paraId="70C32EA0" w14:textId="0B32B3A2" w:rsidR="00455747" w:rsidRPr="00FC41C5" w:rsidRDefault="007E3AF5">
            <w:pPr>
              <w:pStyle w:val="ListParagraph"/>
              <w:spacing w:after="0"/>
              <w:ind w:left="0"/>
              <w:jc w:val="center"/>
              <w:rPr>
                <w:rFonts w:ascii="Times New Roman" w:hAnsi="Times New Roman"/>
                <w:bCs/>
                <w:sz w:val="16"/>
                <w:szCs w:val="16"/>
              </w:rPr>
            </w:pPr>
            <w:r w:rsidRPr="00FC41C5">
              <w:rPr>
                <w:rFonts w:ascii="Times New Roman" w:hAnsi="Times New Roman"/>
                <w:bCs/>
                <w:sz w:val="16"/>
                <w:szCs w:val="16"/>
              </w:rPr>
              <w:t>Variable</w:t>
            </w:r>
          </w:p>
        </w:tc>
        <w:tc>
          <w:tcPr>
            <w:tcW w:w="3546" w:type="dxa"/>
            <w:gridSpan w:val="4"/>
            <w:tcBorders>
              <w:top w:val="single" w:sz="4" w:space="0" w:color="000000"/>
              <w:left w:val="nil"/>
              <w:bottom w:val="single" w:sz="4" w:space="0" w:color="000000"/>
              <w:right w:val="nil"/>
            </w:tcBorders>
            <w:vAlign w:val="center"/>
            <w:hideMark/>
          </w:tcPr>
          <w:p w14:paraId="0AE098F4" w14:textId="4E5825C2" w:rsidR="00455747" w:rsidRPr="00FC41C5" w:rsidRDefault="007E3AF5">
            <w:pPr>
              <w:pStyle w:val="ListParagraph"/>
              <w:spacing w:after="0"/>
              <w:ind w:left="0"/>
              <w:jc w:val="center"/>
              <w:rPr>
                <w:rFonts w:ascii="Times New Roman" w:hAnsi="Times New Roman"/>
                <w:bCs/>
                <w:sz w:val="16"/>
                <w:szCs w:val="16"/>
              </w:rPr>
            </w:pPr>
            <w:proofErr w:type="spellStart"/>
            <w:r w:rsidRPr="00FC41C5">
              <w:rPr>
                <w:rFonts w:ascii="Times New Roman" w:hAnsi="Times New Roman"/>
                <w:bCs/>
                <w:sz w:val="16"/>
                <w:szCs w:val="16"/>
              </w:rPr>
              <w:t>Behavior</w:t>
            </w:r>
            <w:proofErr w:type="spellEnd"/>
            <w:r w:rsidRPr="00FC41C5">
              <w:rPr>
                <w:rFonts w:ascii="Times New Roman" w:hAnsi="Times New Roman"/>
                <w:bCs/>
                <w:sz w:val="16"/>
                <w:szCs w:val="16"/>
              </w:rPr>
              <w:t xml:space="preserve"> of Giving Understanding of Reproductive Health and Sexuality</w:t>
            </w:r>
          </w:p>
        </w:tc>
        <w:tc>
          <w:tcPr>
            <w:tcW w:w="1131" w:type="dxa"/>
            <w:gridSpan w:val="2"/>
            <w:vMerge w:val="restart"/>
            <w:tcBorders>
              <w:top w:val="single" w:sz="4" w:space="0" w:color="000000"/>
              <w:left w:val="nil"/>
              <w:bottom w:val="single" w:sz="4" w:space="0" w:color="000000"/>
              <w:right w:val="nil"/>
            </w:tcBorders>
            <w:vAlign w:val="center"/>
            <w:hideMark/>
          </w:tcPr>
          <w:p w14:paraId="6558809C" w14:textId="77777777" w:rsidR="00455747" w:rsidRPr="00FC41C5" w:rsidRDefault="00455747">
            <w:pPr>
              <w:pStyle w:val="ListParagraph"/>
              <w:spacing w:after="0"/>
              <w:ind w:left="0"/>
              <w:jc w:val="center"/>
              <w:rPr>
                <w:rFonts w:ascii="Times New Roman" w:hAnsi="Times New Roman"/>
                <w:bCs/>
                <w:sz w:val="16"/>
                <w:szCs w:val="16"/>
              </w:rPr>
            </w:pPr>
            <w:r w:rsidRPr="00FC41C5">
              <w:rPr>
                <w:rFonts w:ascii="Times New Roman" w:hAnsi="Times New Roman"/>
                <w:bCs/>
                <w:sz w:val="16"/>
                <w:szCs w:val="16"/>
              </w:rPr>
              <w:t>Total</w:t>
            </w:r>
          </w:p>
        </w:tc>
        <w:tc>
          <w:tcPr>
            <w:tcW w:w="1418" w:type="dxa"/>
            <w:vMerge w:val="restart"/>
            <w:tcBorders>
              <w:top w:val="single" w:sz="4" w:space="0" w:color="000000"/>
              <w:left w:val="nil"/>
              <w:bottom w:val="single" w:sz="4" w:space="0" w:color="000000"/>
              <w:right w:val="nil"/>
            </w:tcBorders>
            <w:hideMark/>
          </w:tcPr>
          <w:p w14:paraId="0F4AD4D0" w14:textId="77777777" w:rsidR="00455747" w:rsidRPr="00FC41C5" w:rsidRDefault="00455747">
            <w:pPr>
              <w:pStyle w:val="ListParagraph"/>
              <w:spacing w:after="0"/>
              <w:ind w:left="0"/>
              <w:jc w:val="center"/>
              <w:rPr>
                <w:rFonts w:ascii="Times New Roman" w:hAnsi="Times New Roman"/>
                <w:bCs/>
                <w:iCs/>
                <w:sz w:val="16"/>
                <w:szCs w:val="16"/>
              </w:rPr>
            </w:pPr>
            <w:r w:rsidRPr="00FC41C5">
              <w:rPr>
                <w:rFonts w:ascii="Times New Roman" w:hAnsi="Times New Roman"/>
                <w:bCs/>
                <w:iCs/>
                <w:sz w:val="16"/>
                <w:szCs w:val="16"/>
              </w:rPr>
              <w:t>OR</w:t>
            </w:r>
          </w:p>
          <w:p w14:paraId="44D2F7DE" w14:textId="77777777" w:rsidR="00455747" w:rsidRPr="00FC41C5" w:rsidRDefault="00455747">
            <w:pPr>
              <w:pStyle w:val="ListParagraph"/>
              <w:spacing w:after="0"/>
              <w:ind w:left="0"/>
              <w:jc w:val="center"/>
              <w:rPr>
                <w:rFonts w:ascii="Times New Roman" w:hAnsi="Times New Roman"/>
                <w:bCs/>
                <w:iCs/>
                <w:sz w:val="16"/>
                <w:szCs w:val="16"/>
              </w:rPr>
            </w:pPr>
            <w:r w:rsidRPr="00FC41C5">
              <w:rPr>
                <w:rFonts w:ascii="Times New Roman" w:hAnsi="Times New Roman"/>
                <w:bCs/>
                <w:iCs/>
                <w:sz w:val="16"/>
                <w:szCs w:val="16"/>
              </w:rPr>
              <w:t>(CI=95%)</w:t>
            </w:r>
          </w:p>
        </w:tc>
        <w:tc>
          <w:tcPr>
            <w:tcW w:w="1135" w:type="dxa"/>
            <w:vMerge w:val="restart"/>
            <w:tcBorders>
              <w:top w:val="single" w:sz="4" w:space="0" w:color="000000"/>
              <w:left w:val="nil"/>
              <w:bottom w:val="single" w:sz="4" w:space="0" w:color="000000"/>
              <w:right w:val="nil"/>
            </w:tcBorders>
            <w:vAlign w:val="center"/>
            <w:hideMark/>
          </w:tcPr>
          <w:p w14:paraId="6C7BE45A" w14:textId="77777777" w:rsidR="00455747" w:rsidRPr="00FC41C5" w:rsidRDefault="00455747">
            <w:pPr>
              <w:pStyle w:val="ListParagraph"/>
              <w:spacing w:after="0"/>
              <w:ind w:left="0"/>
              <w:jc w:val="center"/>
              <w:rPr>
                <w:rFonts w:ascii="Times New Roman" w:hAnsi="Times New Roman"/>
                <w:bCs/>
                <w:i/>
                <w:sz w:val="16"/>
                <w:szCs w:val="16"/>
              </w:rPr>
            </w:pPr>
            <w:r w:rsidRPr="00FC41C5">
              <w:rPr>
                <w:rFonts w:ascii="Times New Roman" w:hAnsi="Times New Roman"/>
                <w:bCs/>
                <w:i/>
                <w:sz w:val="16"/>
                <w:szCs w:val="16"/>
              </w:rPr>
              <w:t>P Value</w:t>
            </w:r>
          </w:p>
        </w:tc>
      </w:tr>
      <w:tr w:rsidR="00455747" w14:paraId="2E97ECE1" w14:textId="77777777" w:rsidTr="00FE2C3D">
        <w:tc>
          <w:tcPr>
            <w:tcW w:w="1560" w:type="dxa"/>
            <w:vMerge/>
            <w:tcBorders>
              <w:top w:val="single" w:sz="4" w:space="0" w:color="000000"/>
              <w:left w:val="nil"/>
              <w:bottom w:val="single" w:sz="4" w:space="0" w:color="auto"/>
              <w:right w:val="nil"/>
            </w:tcBorders>
            <w:vAlign w:val="center"/>
            <w:hideMark/>
          </w:tcPr>
          <w:p w14:paraId="1DC8933E" w14:textId="77777777" w:rsidR="00455747" w:rsidRPr="00FC41C5" w:rsidRDefault="00455747">
            <w:pPr>
              <w:spacing w:line="256" w:lineRule="auto"/>
              <w:rPr>
                <w:bCs/>
                <w:sz w:val="16"/>
                <w:szCs w:val="16"/>
                <w:lang w:eastAsia="id-ID"/>
              </w:rPr>
            </w:pPr>
          </w:p>
        </w:tc>
        <w:tc>
          <w:tcPr>
            <w:tcW w:w="1702" w:type="dxa"/>
            <w:gridSpan w:val="2"/>
            <w:tcBorders>
              <w:top w:val="single" w:sz="4" w:space="0" w:color="000000"/>
              <w:left w:val="nil"/>
              <w:bottom w:val="single" w:sz="4" w:space="0" w:color="000000"/>
              <w:right w:val="nil"/>
            </w:tcBorders>
            <w:vAlign w:val="center"/>
            <w:hideMark/>
          </w:tcPr>
          <w:p w14:paraId="32C57051" w14:textId="766CAC2F" w:rsidR="00455747" w:rsidRPr="00FC41C5" w:rsidRDefault="007E3AF5">
            <w:pPr>
              <w:pStyle w:val="ListParagraph"/>
              <w:spacing w:after="0"/>
              <w:ind w:left="0"/>
              <w:jc w:val="center"/>
              <w:rPr>
                <w:rFonts w:ascii="Times New Roman" w:hAnsi="Times New Roman"/>
                <w:bCs/>
                <w:sz w:val="16"/>
                <w:szCs w:val="16"/>
              </w:rPr>
            </w:pPr>
            <w:r w:rsidRPr="00FC41C5">
              <w:rPr>
                <w:rFonts w:ascii="Times New Roman" w:hAnsi="Times New Roman"/>
                <w:bCs/>
                <w:sz w:val="16"/>
                <w:szCs w:val="16"/>
              </w:rPr>
              <w:t>Not comprehensive yet</w:t>
            </w:r>
          </w:p>
        </w:tc>
        <w:tc>
          <w:tcPr>
            <w:tcW w:w="1844" w:type="dxa"/>
            <w:gridSpan w:val="2"/>
            <w:tcBorders>
              <w:top w:val="single" w:sz="4" w:space="0" w:color="000000"/>
              <w:left w:val="nil"/>
              <w:bottom w:val="single" w:sz="4" w:space="0" w:color="000000"/>
              <w:right w:val="nil"/>
            </w:tcBorders>
            <w:vAlign w:val="center"/>
            <w:hideMark/>
          </w:tcPr>
          <w:p w14:paraId="5B728F24" w14:textId="0C17F5BB" w:rsidR="00455747" w:rsidRPr="00FC41C5" w:rsidRDefault="007E3AF5">
            <w:pPr>
              <w:pStyle w:val="ListParagraph"/>
              <w:spacing w:after="0"/>
              <w:ind w:left="0"/>
              <w:jc w:val="center"/>
              <w:rPr>
                <w:rFonts w:ascii="Times New Roman" w:hAnsi="Times New Roman"/>
                <w:bCs/>
                <w:sz w:val="16"/>
                <w:szCs w:val="16"/>
              </w:rPr>
            </w:pPr>
            <w:r w:rsidRPr="00FC41C5">
              <w:rPr>
                <w:rFonts w:ascii="Times New Roman" w:hAnsi="Times New Roman"/>
                <w:bCs/>
                <w:sz w:val="16"/>
                <w:szCs w:val="16"/>
              </w:rPr>
              <w:t>Comprehensive</w:t>
            </w:r>
          </w:p>
        </w:tc>
        <w:tc>
          <w:tcPr>
            <w:tcW w:w="1131" w:type="dxa"/>
            <w:gridSpan w:val="2"/>
            <w:vMerge/>
            <w:tcBorders>
              <w:top w:val="single" w:sz="4" w:space="0" w:color="000000"/>
              <w:left w:val="nil"/>
              <w:bottom w:val="single" w:sz="4" w:space="0" w:color="000000"/>
              <w:right w:val="nil"/>
            </w:tcBorders>
            <w:vAlign w:val="center"/>
            <w:hideMark/>
          </w:tcPr>
          <w:p w14:paraId="54EA4F5D" w14:textId="77777777" w:rsidR="00455747" w:rsidRPr="00FC41C5" w:rsidRDefault="00455747">
            <w:pPr>
              <w:spacing w:line="256" w:lineRule="auto"/>
              <w:rPr>
                <w:bCs/>
                <w:sz w:val="16"/>
                <w:szCs w:val="16"/>
                <w:lang w:eastAsia="id-ID"/>
              </w:rPr>
            </w:pPr>
          </w:p>
        </w:tc>
        <w:tc>
          <w:tcPr>
            <w:tcW w:w="1418" w:type="dxa"/>
            <w:vMerge/>
            <w:tcBorders>
              <w:top w:val="single" w:sz="4" w:space="0" w:color="000000"/>
              <w:left w:val="nil"/>
              <w:bottom w:val="single" w:sz="4" w:space="0" w:color="000000"/>
              <w:right w:val="nil"/>
            </w:tcBorders>
            <w:vAlign w:val="center"/>
            <w:hideMark/>
          </w:tcPr>
          <w:p w14:paraId="3BF38338" w14:textId="77777777" w:rsidR="00455747" w:rsidRPr="00FC41C5" w:rsidRDefault="00455747">
            <w:pPr>
              <w:spacing w:line="256" w:lineRule="auto"/>
              <w:rPr>
                <w:bCs/>
                <w:iCs/>
                <w:sz w:val="16"/>
                <w:szCs w:val="16"/>
                <w:lang w:eastAsia="id-ID"/>
              </w:rPr>
            </w:pPr>
          </w:p>
        </w:tc>
        <w:tc>
          <w:tcPr>
            <w:tcW w:w="1135" w:type="dxa"/>
            <w:vMerge/>
            <w:tcBorders>
              <w:top w:val="single" w:sz="4" w:space="0" w:color="000000"/>
              <w:left w:val="nil"/>
              <w:bottom w:val="single" w:sz="4" w:space="0" w:color="000000"/>
              <w:right w:val="nil"/>
            </w:tcBorders>
            <w:vAlign w:val="center"/>
            <w:hideMark/>
          </w:tcPr>
          <w:p w14:paraId="07FDCC6B" w14:textId="77777777" w:rsidR="00455747" w:rsidRPr="00FC41C5" w:rsidRDefault="00455747">
            <w:pPr>
              <w:spacing w:line="256" w:lineRule="auto"/>
              <w:rPr>
                <w:bCs/>
                <w:i/>
                <w:sz w:val="16"/>
                <w:szCs w:val="16"/>
                <w:lang w:eastAsia="id-ID"/>
              </w:rPr>
            </w:pPr>
          </w:p>
        </w:tc>
      </w:tr>
      <w:tr w:rsidR="00455747" w14:paraId="2414C606" w14:textId="77777777" w:rsidTr="00FE2C3D">
        <w:tc>
          <w:tcPr>
            <w:tcW w:w="1560" w:type="dxa"/>
            <w:vMerge/>
            <w:tcBorders>
              <w:top w:val="single" w:sz="4" w:space="0" w:color="000000"/>
              <w:left w:val="nil"/>
              <w:bottom w:val="single" w:sz="4" w:space="0" w:color="auto"/>
              <w:right w:val="nil"/>
            </w:tcBorders>
            <w:vAlign w:val="center"/>
            <w:hideMark/>
          </w:tcPr>
          <w:p w14:paraId="15673C92" w14:textId="77777777" w:rsidR="00455747" w:rsidRPr="00FC41C5" w:rsidRDefault="00455747">
            <w:pPr>
              <w:spacing w:line="256" w:lineRule="auto"/>
              <w:rPr>
                <w:bCs/>
                <w:sz w:val="16"/>
                <w:szCs w:val="16"/>
                <w:lang w:eastAsia="id-ID"/>
              </w:rPr>
            </w:pPr>
          </w:p>
        </w:tc>
        <w:tc>
          <w:tcPr>
            <w:tcW w:w="709" w:type="dxa"/>
            <w:tcBorders>
              <w:top w:val="single" w:sz="4" w:space="0" w:color="000000"/>
              <w:left w:val="nil"/>
              <w:bottom w:val="single" w:sz="4" w:space="0" w:color="auto"/>
              <w:right w:val="nil"/>
            </w:tcBorders>
            <w:vAlign w:val="center"/>
            <w:hideMark/>
          </w:tcPr>
          <w:p w14:paraId="348B75CC" w14:textId="77777777" w:rsidR="00455747" w:rsidRPr="00FC41C5" w:rsidRDefault="00455747">
            <w:pPr>
              <w:pStyle w:val="ListParagraph"/>
              <w:spacing w:after="0"/>
              <w:ind w:left="0"/>
              <w:jc w:val="center"/>
              <w:rPr>
                <w:rFonts w:ascii="Times New Roman" w:hAnsi="Times New Roman"/>
                <w:bCs/>
                <w:sz w:val="16"/>
                <w:szCs w:val="16"/>
              </w:rPr>
            </w:pPr>
            <w:r w:rsidRPr="00FC41C5">
              <w:rPr>
                <w:rFonts w:ascii="Times New Roman" w:hAnsi="Times New Roman"/>
                <w:bCs/>
                <w:sz w:val="16"/>
                <w:szCs w:val="16"/>
              </w:rPr>
              <w:t>(n)</w:t>
            </w:r>
          </w:p>
        </w:tc>
        <w:tc>
          <w:tcPr>
            <w:tcW w:w="993" w:type="dxa"/>
            <w:tcBorders>
              <w:top w:val="single" w:sz="4" w:space="0" w:color="000000"/>
              <w:left w:val="nil"/>
              <w:bottom w:val="single" w:sz="4" w:space="0" w:color="auto"/>
              <w:right w:val="nil"/>
            </w:tcBorders>
            <w:vAlign w:val="center"/>
            <w:hideMark/>
          </w:tcPr>
          <w:p w14:paraId="6532D4E5" w14:textId="77777777" w:rsidR="00455747" w:rsidRPr="00FC41C5" w:rsidRDefault="00455747">
            <w:pPr>
              <w:pStyle w:val="ListParagraph"/>
              <w:spacing w:after="0"/>
              <w:ind w:left="0"/>
              <w:jc w:val="center"/>
              <w:rPr>
                <w:rFonts w:ascii="Times New Roman" w:hAnsi="Times New Roman"/>
                <w:bCs/>
                <w:sz w:val="16"/>
                <w:szCs w:val="16"/>
              </w:rPr>
            </w:pPr>
            <w:r w:rsidRPr="00FC41C5">
              <w:rPr>
                <w:rFonts w:ascii="Times New Roman" w:hAnsi="Times New Roman"/>
                <w:bCs/>
                <w:sz w:val="16"/>
                <w:szCs w:val="16"/>
              </w:rPr>
              <w:t>(%)</w:t>
            </w:r>
          </w:p>
        </w:tc>
        <w:tc>
          <w:tcPr>
            <w:tcW w:w="709" w:type="dxa"/>
            <w:tcBorders>
              <w:top w:val="single" w:sz="4" w:space="0" w:color="000000"/>
              <w:left w:val="nil"/>
              <w:bottom w:val="single" w:sz="4" w:space="0" w:color="auto"/>
              <w:right w:val="nil"/>
            </w:tcBorders>
            <w:vAlign w:val="center"/>
            <w:hideMark/>
          </w:tcPr>
          <w:p w14:paraId="6A1E4176" w14:textId="77777777" w:rsidR="00455747" w:rsidRPr="00FC41C5" w:rsidRDefault="00455747">
            <w:pPr>
              <w:pStyle w:val="ListParagraph"/>
              <w:spacing w:after="0"/>
              <w:ind w:left="0"/>
              <w:jc w:val="center"/>
              <w:rPr>
                <w:rFonts w:ascii="Times New Roman" w:hAnsi="Times New Roman"/>
                <w:bCs/>
                <w:sz w:val="16"/>
                <w:szCs w:val="16"/>
              </w:rPr>
            </w:pPr>
            <w:r w:rsidRPr="00FC41C5">
              <w:rPr>
                <w:rFonts w:ascii="Times New Roman" w:hAnsi="Times New Roman"/>
                <w:bCs/>
                <w:sz w:val="16"/>
                <w:szCs w:val="16"/>
              </w:rPr>
              <w:t>(n)</w:t>
            </w:r>
          </w:p>
        </w:tc>
        <w:tc>
          <w:tcPr>
            <w:tcW w:w="1135" w:type="dxa"/>
            <w:tcBorders>
              <w:top w:val="single" w:sz="4" w:space="0" w:color="000000"/>
              <w:left w:val="nil"/>
              <w:bottom w:val="single" w:sz="4" w:space="0" w:color="auto"/>
              <w:right w:val="nil"/>
            </w:tcBorders>
            <w:vAlign w:val="center"/>
            <w:hideMark/>
          </w:tcPr>
          <w:p w14:paraId="25C237C4" w14:textId="77777777" w:rsidR="00455747" w:rsidRPr="00FC41C5" w:rsidRDefault="00455747">
            <w:pPr>
              <w:pStyle w:val="ListParagraph"/>
              <w:spacing w:after="0"/>
              <w:ind w:left="0"/>
              <w:jc w:val="center"/>
              <w:rPr>
                <w:rFonts w:ascii="Times New Roman" w:hAnsi="Times New Roman"/>
                <w:bCs/>
                <w:sz w:val="16"/>
                <w:szCs w:val="16"/>
              </w:rPr>
            </w:pPr>
            <w:r w:rsidRPr="00FC41C5">
              <w:rPr>
                <w:rFonts w:ascii="Times New Roman" w:hAnsi="Times New Roman"/>
                <w:bCs/>
                <w:sz w:val="16"/>
                <w:szCs w:val="16"/>
              </w:rPr>
              <w:t>(%)</w:t>
            </w:r>
          </w:p>
        </w:tc>
        <w:tc>
          <w:tcPr>
            <w:tcW w:w="564" w:type="dxa"/>
            <w:tcBorders>
              <w:top w:val="single" w:sz="4" w:space="0" w:color="000000"/>
              <w:left w:val="nil"/>
              <w:bottom w:val="single" w:sz="4" w:space="0" w:color="auto"/>
              <w:right w:val="nil"/>
            </w:tcBorders>
            <w:vAlign w:val="center"/>
            <w:hideMark/>
          </w:tcPr>
          <w:p w14:paraId="26E22343" w14:textId="77777777" w:rsidR="00455747" w:rsidRPr="00FC41C5" w:rsidRDefault="00455747">
            <w:pPr>
              <w:pStyle w:val="ListParagraph"/>
              <w:spacing w:after="0"/>
              <w:ind w:left="0"/>
              <w:jc w:val="center"/>
              <w:rPr>
                <w:rFonts w:ascii="Times New Roman" w:hAnsi="Times New Roman"/>
                <w:bCs/>
                <w:sz w:val="16"/>
                <w:szCs w:val="16"/>
              </w:rPr>
            </w:pPr>
            <w:r w:rsidRPr="00FC41C5">
              <w:rPr>
                <w:rFonts w:ascii="Times New Roman" w:hAnsi="Times New Roman"/>
                <w:bCs/>
                <w:sz w:val="16"/>
                <w:szCs w:val="16"/>
              </w:rPr>
              <w:t>(n)</w:t>
            </w:r>
          </w:p>
        </w:tc>
        <w:tc>
          <w:tcPr>
            <w:tcW w:w="567" w:type="dxa"/>
            <w:tcBorders>
              <w:top w:val="single" w:sz="4" w:space="0" w:color="000000"/>
              <w:left w:val="nil"/>
              <w:bottom w:val="single" w:sz="4" w:space="0" w:color="auto"/>
              <w:right w:val="nil"/>
            </w:tcBorders>
            <w:vAlign w:val="center"/>
            <w:hideMark/>
          </w:tcPr>
          <w:p w14:paraId="4C6F78A3" w14:textId="77777777" w:rsidR="00455747" w:rsidRPr="00FC41C5" w:rsidRDefault="00455747">
            <w:pPr>
              <w:pStyle w:val="ListParagraph"/>
              <w:spacing w:after="0"/>
              <w:ind w:left="0"/>
              <w:jc w:val="center"/>
              <w:rPr>
                <w:rFonts w:ascii="Times New Roman" w:hAnsi="Times New Roman"/>
                <w:bCs/>
                <w:sz w:val="16"/>
                <w:szCs w:val="16"/>
              </w:rPr>
            </w:pPr>
            <w:r w:rsidRPr="00FC41C5">
              <w:rPr>
                <w:rFonts w:ascii="Times New Roman" w:hAnsi="Times New Roman"/>
                <w:bCs/>
                <w:sz w:val="16"/>
                <w:szCs w:val="16"/>
              </w:rPr>
              <w:t>(%)</w:t>
            </w:r>
          </w:p>
        </w:tc>
        <w:tc>
          <w:tcPr>
            <w:tcW w:w="1418" w:type="dxa"/>
            <w:tcBorders>
              <w:top w:val="single" w:sz="4" w:space="0" w:color="000000"/>
              <w:left w:val="nil"/>
              <w:bottom w:val="single" w:sz="4" w:space="0" w:color="auto"/>
              <w:right w:val="nil"/>
            </w:tcBorders>
          </w:tcPr>
          <w:p w14:paraId="6B73E100" w14:textId="77777777" w:rsidR="00455747" w:rsidRPr="00FC41C5" w:rsidRDefault="00455747">
            <w:pPr>
              <w:pStyle w:val="ListParagraph"/>
              <w:spacing w:after="0"/>
              <w:ind w:left="0"/>
              <w:jc w:val="center"/>
              <w:rPr>
                <w:rFonts w:ascii="Times New Roman" w:hAnsi="Times New Roman"/>
                <w:bCs/>
                <w:sz w:val="16"/>
                <w:szCs w:val="16"/>
              </w:rPr>
            </w:pPr>
          </w:p>
        </w:tc>
        <w:tc>
          <w:tcPr>
            <w:tcW w:w="1135" w:type="dxa"/>
            <w:tcBorders>
              <w:top w:val="single" w:sz="4" w:space="0" w:color="000000"/>
              <w:left w:val="nil"/>
              <w:bottom w:val="single" w:sz="4" w:space="0" w:color="auto"/>
              <w:right w:val="nil"/>
            </w:tcBorders>
          </w:tcPr>
          <w:p w14:paraId="578BAA65" w14:textId="77777777" w:rsidR="00455747" w:rsidRPr="00FC41C5" w:rsidRDefault="00455747">
            <w:pPr>
              <w:pStyle w:val="ListParagraph"/>
              <w:spacing w:after="0"/>
              <w:ind w:left="0"/>
              <w:jc w:val="center"/>
              <w:rPr>
                <w:rFonts w:ascii="Times New Roman" w:hAnsi="Times New Roman"/>
                <w:bCs/>
                <w:sz w:val="16"/>
                <w:szCs w:val="16"/>
              </w:rPr>
            </w:pPr>
          </w:p>
        </w:tc>
      </w:tr>
      <w:tr w:rsidR="00455747" w14:paraId="70C5D4BC" w14:textId="77777777" w:rsidTr="00FE2C3D">
        <w:tc>
          <w:tcPr>
            <w:tcW w:w="1560" w:type="dxa"/>
            <w:tcBorders>
              <w:top w:val="single" w:sz="4" w:space="0" w:color="auto"/>
              <w:left w:val="nil"/>
              <w:bottom w:val="single" w:sz="4" w:space="0" w:color="auto"/>
              <w:right w:val="nil"/>
            </w:tcBorders>
            <w:hideMark/>
          </w:tcPr>
          <w:p w14:paraId="61C05308" w14:textId="7B8CEB8E" w:rsidR="00455747" w:rsidRPr="00414499" w:rsidRDefault="00BC75A9">
            <w:pPr>
              <w:jc w:val="both"/>
              <w:rPr>
                <w:bCs/>
                <w:sz w:val="16"/>
                <w:szCs w:val="16"/>
              </w:rPr>
            </w:pPr>
            <w:r w:rsidRPr="00414499">
              <w:rPr>
                <w:bCs/>
                <w:sz w:val="16"/>
                <w:szCs w:val="16"/>
              </w:rPr>
              <w:t>Parental Confidence</w:t>
            </w:r>
          </w:p>
          <w:p w14:paraId="2A3E529E" w14:textId="2ACC9738" w:rsidR="00455747" w:rsidRPr="00414499" w:rsidRDefault="00BC75A9">
            <w:pPr>
              <w:ind w:left="488" w:hanging="173"/>
              <w:jc w:val="both"/>
              <w:rPr>
                <w:bCs/>
                <w:sz w:val="16"/>
                <w:szCs w:val="16"/>
              </w:rPr>
            </w:pPr>
            <w:r w:rsidRPr="00414499">
              <w:rPr>
                <w:bCs/>
                <w:sz w:val="16"/>
                <w:szCs w:val="16"/>
              </w:rPr>
              <w:t>Low</w:t>
            </w:r>
          </w:p>
          <w:p w14:paraId="33F442C7" w14:textId="633554A9" w:rsidR="00455747" w:rsidRPr="00414499" w:rsidRDefault="00BC75A9">
            <w:pPr>
              <w:ind w:left="488" w:hanging="173"/>
              <w:jc w:val="both"/>
              <w:rPr>
                <w:bCs/>
                <w:sz w:val="16"/>
                <w:szCs w:val="16"/>
              </w:rPr>
            </w:pPr>
            <w:r w:rsidRPr="00414499">
              <w:rPr>
                <w:bCs/>
                <w:sz w:val="16"/>
                <w:szCs w:val="16"/>
              </w:rPr>
              <w:t>High</w:t>
            </w:r>
          </w:p>
          <w:p w14:paraId="2B0F89DF" w14:textId="4E6E71ED" w:rsidR="00455747" w:rsidRPr="00414499" w:rsidRDefault="00BC75A9">
            <w:pPr>
              <w:ind w:left="488" w:hanging="488"/>
              <w:jc w:val="both"/>
              <w:rPr>
                <w:bCs/>
                <w:sz w:val="16"/>
                <w:szCs w:val="16"/>
              </w:rPr>
            </w:pPr>
            <w:r w:rsidRPr="00414499">
              <w:rPr>
                <w:bCs/>
                <w:sz w:val="16"/>
                <w:szCs w:val="16"/>
              </w:rPr>
              <w:t>Couple Support</w:t>
            </w:r>
          </w:p>
          <w:p w14:paraId="0E2902A9" w14:textId="4CCFD8E3" w:rsidR="00455747" w:rsidRPr="00414499" w:rsidRDefault="00355F24">
            <w:pPr>
              <w:ind w:left="488" w:hanging="173"/>
              <w:jc w:val="both"/>
              <w:rPr>
                <w:bCs/>
                <w:sz w:val="16"/>
                <w:szCs w:val="16"/>
              </w:rPr>
            </w:pPr>
            <w:r w:rsidRPr="00414499">
              <w:rPr>
                <w:bCs/>
                <w:sz w:val="16"/>
                <w:szCs w:val="16"/>
              </w:rPr>
              <w:t>Low</w:t>
            </w:r>
          </w:p>
          <w:p w14:paraId="5657CE48" w14:textId="0D783B50" w:rsidR="00455747" w:rsidRPr="00414499" w:rsidRDefault="00355F24">
            <w:pPr>
              <w:ind w:left="488" w:hanging="173"/>
              <w:rPr>
                <w:bCs/>
                <w:sz w:val="16"/>
                <w:szCs w:val="16"/>
              </w:rPr>
            </w:pPr>
            <w:r w:rsidRPr="00414499">
              <w:rPr>
                <w:bCs/>
                <w:sz w:val="16"/>
                <w:szCs w:val="16"/>
              </w:rPr>
              <w:t>High</w:t>
            </w:r>
          </w:p>
          <w:p w14:paraId="46BCA964" w14:textId="0E5E982C" w:rsidR="00455747" w:rsidRPr="00414499" w:rsidRDefault="00355F24" w:rsidP="00355F24">
            <w:pPr>
              <w:rPr>
                <w:bCs/>
                <w:sz w:val="16"/>
                <w:szCs w:val="16"/>
              </w:rPr>
            </w:pPr>
            <w:r w:rsidRPr="00414499">
              <w:rPr>
                <w:bCs/>
                <w:sz w:val="16"/>
                <w:szCs w:val="16"/>
              </w:rPr>
              <w:t>Perception of Barriers</w:t>
            </w:r>
          </w:p>
          <w:p w14:paraId="4EBB4C40" w14:textId="76F00F58" w:rsidR="00455747" w:rsidRPr="00414499" w:rsidRDefault="00355F24" w:rsidP="00355F24">
            <w:pPr>
              <w:ind w:left="310"/>
              <w:rPr>
                <w:bCs/>
                <w:sz w:val="16"/>
                <w:szCs w:val="16"/>
              </w:rPr>
            </w:pPr>
            <w:r w:rsidRPr="00414499">
              <w:rPr>
                <w:bCs/>
                <w:sz w:val="16"/>
                <w:szCs w:val="16"/>
              </w:rPr>
              <w:t>High</w:t>
            </w:r>
          </w:p>
          <w:p w14:paraId="02692046" w14:textId="1DE95E1C" w:rsidR="00455747" w:rsidRPr="00414499" w:rsidRDefault="00355F24" w:rsidP="00355F24">
            <w:pPr>
              <w:ind w:left="310"/>
              <w:rPr>
                <w:bCs/>
                <w:sz w:val="16"/>
                <w:szCs w:val="16"/>
              </w:rPr>
            </w:pPr>
            <w:r w:rsidRPr="00414499">
              <w:rPr>
                <w:bCs/>
                <w:sz w:val="16"/>
                <w:szCs w:val="16"/>
              </w:rPr>
              <w:t>Low</w:t>
            </w:r>
          </w:p>
        </w:tc>
        <w:tc>
          <w:tcPr>
            <w:tcW w:w="709" w:type="dxa"/>
            <w:tcBorders>
              <w:top w:val="single" w:sz="4" w:space="0" w:color="auto"/>
              <w:left w:val="nil"/>
              <w:bottom w:val="single" w:sz="4" w:space="0" w:color="auto"/>
              <w:right w:val="nil"/>
            </w:tcBorders>
          </w:tcPr>
          <w:p w14:paraId="468CB2F2" w14:textId="77777777" w:rsidR="00455747" w:rsidRPr="00414499" w:rsidRDefault="00455747" w:rsidP="00FC41C5">
            <w:pPr>
              <w:pStyle w:val="ListParagraph"/>
              <w:spacing w:after="0" w:line="240" w:lineRule="auto"/>
              <w:ind w:left="0"/>
              <w:rPr>
                <w:rFonts w:ascii="Times New Roman" w:hAnsi="Times New Roman"/>
                <w:bCs/>
                <w:sz w:val="16"/>
                <w:szCs w:val="16"/>
              </w:rPr>
            </w:pPr>
          </w:p>
          <w:p w14:paraId="1EB9BFF7" w14:textId="77777777" w:rsidR="00455747" w:rsidRPr="00414499" w:rsidRDefault="00455747">
            <w:pPr>
              <w:pStyle w:val="ListParagraph"/>
              <w:spacing w:after="0" w:line="240" w:lineRule="auto"/>
              <w:ind w:left="0"/>
              <w:jc w:val="center"/>
              <w:rPr>
                <w:rFonts w:ascii="Times New Roman" w:hAnsi="Times New Roman"/>
                <w:bCs/>
                <w:sz w:val="16"/>
                <w:szCs w:val="16"/>
              </w:rPr>
            </w:pPr>
            <w:r w:rsidRPr="00414499">
              <w:rPr>
                <w:rFonts w:ascii="Times New Roman" w:hAnsi="Times New Roman"/>
                <w:bCs/>
                <w:sz w:val="16"/>
                <w:szCs w:val="16"/>
              </w:rPr>
              <w:t>70</w:t>
            </w:r>
          </w:p>
          <w:p w14:paraId="5706163C" w14:textId="77777777" w:rsidR="00455747" w:rsidRPr="00414499" w:rsidRDefault="00455747">
            <w:pPr>
              <w:pStyle w:val="ListParagraph"/>
              <w:spacing w:after="0" w:line="240" w:lineRule="auto"/>
              <w:ind w:left="0"/>
              <w:jc w:val="center"/>
              <w:rPr>
                <w:rFonts w:ascii="Times New Roman" w:hAnsi="Times New Roman"/>
                <w:bCs/>
                <w:sz w:val="16"/>
                <w:szCs w:val="16"/>
              </w:rPr>
            </w:pPr>
            <w:r w:rsidRPr="00414499">
              <w:rPr>
                <w:rFonts w:ascii="Times New Roman" w:hAnsi="Times New Roman"/>
                <w:bCs/>
                <w:sz w:val="16"/>
                <w:szCs w:val="16"/>
              </w:rPr>
              <w:t>88</w:t>
            </w:r>
          </w:p>
          <w:p w14:paraId="6CEF5548" w14:textId="77777777" w:rsidR="00455747" w:rsidRPr="00414499" w:rsidRDefault="00455747" w:rsidP="00FC41C5">
            <w:pPr>
              <w:pStyle w:val="ListParagraph"/>
              <w:spacing w:after="0" w:line="240" w:lineRule="auto"/>
              <w:ind w:left="0"/>
              <w:rPr>
                <w:rFonts w:ascii="Times New Roman" w:hAnsi="Times New Roman"/>
                <w:bCs/>
                <w:sz w:val="16"/>
                <w:szCs w:val="16"/>
              </w:rPr>
            </w:pPr>
          </w:p>
          <w:p w14:paraId="34A78BE4" w14:textId="77777777" w:rsidR="00455747" w:rsidRPr="00414499" w:rsidRDefault="00455747">
            <w:pPr>
              <w:pStyle w:val="ListParagraph"/>
              <w:spacing w:after="0" w:line="240" w:lineRule="auto"/>
              <w:ind w:left="0"/>
              <w:jc w:val="center"/>
              <w:rPr>
                <w:rFonts w:ascii="Times New Roman" w:hAnsi="Times New Roman"/>
                <w:bCs/>
                <w:sz w:val="16"/>
                <w:szCs w:val="16"/>
              </w:rPr>
            </w:pPr>
            <w:r w:rsidRPr="00414499">
              <w:rPr>
                <w:rFonts w:ascii="Times New Roman" w:hAnsi="Times New Roman"/>
                <w:bCs/>
                <w:sz w:val="16"/>
                <w:szCs w:val="16"/>
              </w:rPr>
              <w:t>82</w:t>
            </w:r>
          </w:p>
          <w:p w14:paraId="1AAE707D" w14:textId="77777777" w:rsidR="00455747" w:rsidRPr="00414499" w:rsidRDefault="00455747">
            <w:pPr>
              <w:pStyle w:val="ListParagraph"/>
              <w:spacing w:after="0" w:line="240" w:lineRule="auto"/>
              <w:ind w:left="0"/>
              <w:jc w:val="center"/>
              <w:rPr>
                <w:rFonts w:ascii="Times New Roman" w:hAnsi="Times New Roman"/>
                <w:bCs/>
                <w:sz w:val="16"/>
                <w:szCs w:val="16"/>
              </w:rPr>
            </w:pPr>
            <w:r w:rsidRPr="00414499">
              <w:rPr>
                <w:rFonts w:ascii="Times New Roman" w:hAnsi="Times New Roman"/>
                <w:bCs/>
                <w:sz w:val="16"/>
                <w:szCs w:val="16"/>
              </w:rPr>
              <w:t>76</w:t>
            </w:r>
          </w:p>
          <w:p w14:paraId="6D3A4920" w14:textId="77777777" w:rsidR="00455747" w:rsidRPr="00414499" w:rsidRDefault="00455747" w:rsidP="00355F24">
            <w:pPr>
              <w:pStyle w:val="ListParagraph"/>
              <w:spacing w:after="0" w:line="240" w:lineRule="auto"/>
              <w:ind w:left="0"/>
              <w:rPr>
                <w:rFonts w:ascii="Times New Roman" w:hAnsi="Times New Roman"/>
                <w:bCs/>
                <w:sz w:val="16"/>
                <w:szCs w:val="16"/>
              </w:rPr>
            </w:pPr>
          </w:p>
          <w:p w14:paraId="4817B836" w14:textId="77777777" w:rsidR="00FC41C5" w:rsidRDefault="00FC41C5">
            <w:pPr>
              <w:pStyle w:val="ListParagraph"/>
              <w:spacing w:after="0" w:line="240" w:lineRule="auto"/>
              <w:ind w:left="0"/>
              <w:jc w:val="center"/>
              <w:rPr>
                <w:rFonts w:ascii="Times New Roman" w:hAnsi="Times New Roman"/>
                <w:bCs/>
                <w:sz w:val="16"/>
                <w:szCs w:val="16"/>
              </w:rPr>
            </w:pPr>
          </w:p>
          <w:p w14:paraId="70143207" w14:textId="3EAB2E30" w:rsidR="00455747" w:rsidRPr="00414499" w:rsidRDefault="00455747">
            <w:pPr>
              <w:pStyle w:val="ListParagraph"/>
              <w:spacing w:after="0" w:line="240" w:lineRule="auto"/>
              <w:ind w:left="0"/>
              <w:jc w:val="center"/>
              <w:rPr>
                <w:rFonts w:ascii="Times New Roman" w:hAnsi="Times New Roman"/>
                <w:bCs/>
                <w:sz w:val="16"/>
                <w:szCs w:val="16"/>
              </w:rPr>
            </w:pPr>
            <w:r w:rsidRPr="00414499">
              <w:rPr>
                <w:rFonts w:ascii="Times New Roman" w:hAnsi="Times New Roman"/>
                <w:bCs/>
                <w:sz w:val="16"/>
                <w:szCs w:val="16"/>
              </w:rPr>
              <w:t>80</w:t>
            </w:r>
          </w:p>
          <w:p w14:paraId="51D03BD7" w14:textId="77777777" w:rsidR="00455747" w:rsidRPr="00414499" w:rsidRDefault="00455747">
            <w:pPr>
              <w:pStyle w:val="ListParagraph"/>
              <w:spacing w:after="0" w:line="240" w:lineRule="auto"/>
              <w:ind w:left="0"/>
              <w:jc w:val="center"/>
              <w:rPr>
                <w:rFonts w:ascii="Times New Roman" w:hAnsi="Times New Roman"/>
                <w:bCs/>
                <w:sz w:val="16"/>
                <w:szCs w:val="16"/>
              </w:rPr>
            </w:pPr>
            <w:r w:rsidRPr="00414499">
              <w:rPr>
                <w:rFonts w:ascii="Times New Roman" w:hAnsi="Times New Roman"/>
                <w:bCs/>
                <w:sz w:val="16"/>
                <w:szCs w:val="16"/>
              </w:rPr>
              <w:t>78</w:t>
            </w:r>
          </w:p>
        </w:tc>
        <w:tc>
          <w:tcPr>
            <w:tcW w:w="993" w:type="dxa"/>
            <w:tcBorders>
              <w:top w:val="single" w:sz="4" w:space="0" w:color="auto"/>
              <w:left w:val="nil"/>
              <w:bottom w:val="single" w:sz="4" w:space="0" w:color="auto"/>
              <w:right w:val="nil"/>
            </w:tcBorders>
          </w:tcPr>
          <w:p w14:paraId="28F28C47" w14:textId="77777777" w:rsidR="00455747" w:rsidRPr="00414499" w:rsidRDefault="00455747" w:rsidP="00FC41C5">
            <w:pPr>
              <w:pStyle w:val="ListParagraph"/>
              <w:spacing w:after="0" w:line="240" w:lineRule="auto"/>
              <w:ind w:left="0"/>
              <w:rPr>
                <w:rFonts w:ascii="Times New Roman" w:hAnsi="Times New Roman"/>
                <w:bCs/>
                <w:sz w:val="16"/>
                <w:szCs w:val="16"/>
              </w:rPr>
            </w:pPr>
          </w:p>
          <w:p w14:paraId="7BFC3D02" w14:textId="77777777" w:rsidR="00455747" w:rsidRPr="00414499" w:rsidRDefault="00455747">
            <w:pPr>
              <w:pStyle w:val="ListParagraph"/>
              <w:spacing w:after="0" w:line="240" w:lineRule="auto"/>
              <w:ind w:left="0"/>
              <w:jc w:val="center"/>
              <w:rPr>
                <w:rFonts w:ascii="Times New Roman" w:hAnsi="Times New Roman"/>
                <w:bCs/>
                <w:sz w:val="16"/>
                <w:szCs w:val="16"/>
              </w:rPr>
            </w:pPr>
            <w:r w:rsidRPr="00414499">
              <w:rPr>
                <w:rFonts w:ascii="Times New Roman" w:hAnsi="Times New Roman"/>
                <w:bCs/>
                <w:sz w:val="16"/>
                <w:szCs w:val="16"/>
              </w:rPr>
              <w:t>78.7</w:t>
            </w:r>
          </w:p>
          <w:p w14:paraId="16BD5EEE" w14:textId="77777777" w:rsidR="00455747" w:rsidRPr="00414499" w:rsidRDefault="00455747">
            <w:pPr>
              <w:pStyle w:val="ListParagraph"/>
              <w:spacing w:after="0" w:line="240" w:lineRule="auto"/>
              <w:ind w:left="0"/>
              <w:jc w:val="center"/>
              <w:rPr>
                <w:rFonts w:ascii="Times New Roman" w:hAnsi="Times New Roman"/>
                <w:bCs/>
                <w:sz w:val="16"/>
                <w:szCs w:val="16"/>
              </w:rPr>
            </w:pPr>
            <w:r w:rsidRPr="00414499">
              <w:rPr>
                <w:rFonts w:ascii="Times New Roman" w:hAnsi="Times New Roman"/>
                <w:bCs/>
                <w:sz w:val="16"/>
                <w:szCs w:val="16"/>
              </w:rPr>
              <w:t>41.7</w:t>
            </w:r>
          </w:p>
          <w:p w14:paraId="74C7DE4E" w14:textId="77777777" w:rsidR="00455747" w:rsidRPr="00414499" w:rsidRDefault="00455747" w:rsidP="00FC41C5">
            <w:pPr>
              <w:pStyle w:val="ListParagraph"/>
              <w:spacing w:after="0" w:line="240" w:lineRule="auto"/>
              <w:ind w:left="0"/>
              <w:rPr>
                <w:rFonts w:ascii="Times New Roman" w:hAnsi="Times New Roman"/>
                <w:bCs/>
                <w:sz w:val="16"/>
                <w:szCs w:val="16"/>
              </w:rPr>
            </w:pPr>
          </w:p>
          <w:p w14:paraId="32A84B26" w14:textId="77777777" w:rsidR="00455747" w:rsidRPr="00414499" w:rsidRDefault="00455747">
            <w:pPr>
              <w:pStyle w:val="ListParagraph"/>
              <w:spacing w:after="0" w:line="240" w:lineRule="auto"/>
              <w:ind w:left="0"/>
              <w:jc w:val="center"/>
              <w:rPr>
                <w:rFonts w:ascii="Times New Roman" w:hAnsi="Times New Roman"/>
                <w:bCs/>
                <w:sz w:val="16"/>
                <w:szCs w:val="16"/>
              </w:rPr>
            </w:pPr>
            <w:r w:rsidRPr="00414499">
              <w:rPr>
                <w:rFonts w:ascii="Times New Roman" w:hAnsi="Times New Roman"/>
                <w:bCs/>
                <w:sz w:val="16"/>
                <w:szCs w:val="16"/>
              </w:rPr>
              <w:t>73.9</w:t>
            </w:r>
          </w:p>
          <w:p w14:paraId="7D57D189" w14:textId="77777777" w:rsidR="00455747" w:rsidRPr="00414499" w:rsidRDefault="00455747">
            <w:pPr>
              <w:pStyle w:val="ListParagraph"/>
              <w:spacing w:after="0" w:line="240" w:lineRule="auto"/>
              <w:ind w:left="0"/>
              <w:jc w:val="center"/>
              <w:rPr>
                <w:rFonts w:ascii="Times New Roman" w:hAnsi="Times New Roman"/>
                <w:bCs/>
                <w:sz w:val="16"/>
                <w:szCs w:val="16"/>
              </w:rPr>
            </w:pPr>
            <w:r w:rsidRPr="00414499">
              <w:rPr>
                <w:rFonts w:ascii="Times New Roman" w:hAnsi="Times New Roman"/>
                <w:bCs/>
                <w:sz w:val="16"/>
                <w:szCs w:val="16"/>
              </w:rPr>
              <w:t>40.2</w:t>
            </w:r>
          </w:p>
          <w:p w14:paraId="1BC78785" w14:textId="77777777" w:rsidR="00455747" w:rsidRPr="00414499" w:rsidRDefault="00455747" w:rsidP="00355F24">
            <w:pPr>
              <w:pStyle w:val="ListParagraph"/>
              <w:spacing w:after="0" w:line="240" w:lineRule="auto"/>
              <w:ind w:left="0"/>
              <w:rPr>
                <w:rFonts w:ascii="Times New Roman" w:hAnsi="Times New Roman"/>
                <w:bCs/>
                <w:sz w:val="16"/>
                <w:szCs w:val="16"/>
              </w:rPr>
            </w:pPr>
          </w:p>
          <w:p w14:paraId="71DDABD9" w14:textId="77777777" w:rsidR="00FC41C5" w:rsidRDefault="00FC41C5">
            <w:pPr>
              <w:pStyle w:val="ListParagraph"/>
              <w:spacing w:after="0" w:line="240" w:lineRule="auto"/>
              <w:ind w:left="0"/>
              <w:jc w:val="center"/>
              <w:rPr>
                <w:rFonts w:ascii="Times New Roman" w:hAnsi="Times New Roman"/>
                <w:bCs/>
                <w:sz w:val="16"/>
                <w:szCs w:val="16"/>
              </w:rPr>
            </w:pPr>
          </w:p>
          <w:p w14:paraId="50A6AB38" w14:textId="5102C21D" w:rsidR="00455747" w:rsidRPr="00414499" w:rsidRDefault="00455747">
            <w:pPr>
              <w:pStyle w:val="ListParagraph"/>
              <w:spacing w:after="0" w:line="240" w:lineRule="auto"/>
              <w:ind w:left="0"/>
              <w:jc w:val="center"/>
              <w:rPr>
                <w:rFonts w:ascii="Times New Roman" w:hAnsi="Times New Roman"/>
                <w:bCs/>
                <w:sz w:val="16"/>
                <w:szCs w:val="16"/>
              </w:rPr>
            </w:pPr>
            <w:r w:rsidRPr="00414499">
              <w:rPr>
                <w:rFonts w:ascii="Times New Roman" w:hAnsi="Times New Roman"/>
                <w:bCs/>
                <w:sz w:val="16"/>
                <w:szCs w:val="16"/>
              </w:rPr>
              <w:t>48.8</w:t>
            </w:r>
          </w:p>
          <w:p w14:paraId="25035C23" w14:textId="77777777" w:rsidR="00455747" w:rsidRPr="00414499" w:rsidRDefault="00455747">
            <w:pPr>
              <w:pStyle w:val="ListParagraph"/>
              <w:spacing w:after="0" w:line="240" w:lineRule="auto"/>
              <w:ind w:left="0"/>
              <w:jc w:val="center"/>
              <w:rPr>
                <w:rFonts w:ascii="Times New Roman" w:hAnsi="Times New Roman"/>
                <w:bCs/>
                <w:sz w:val="16"/>
                <w:szCs w:val="16"/>
              </w:rPr>
            </w:pPr>
            <w:r w:rsidRPr="00414499">
              <w:rPr>
                <w:rFonts w:ascii="Times New Roman" w:hAnsi="Times New Roman"/>
                <w:bCs/>
                <w:sz w:val="16"/>
                <w:szCs w:val="16"/>
              </w:rPr>
              <w:t>57.4</w:t>
            </w:r>
          </w:p>
        </w:tc>
        <w:tc>
          <w:tcPr>
            <w:tcW w:w="709" w:type="dxa"/>
            <w:tcBorders>
              <w:top w:val="single" w:sz="4" w:space="0" w:color="auto"/>
              <w:left w:val="nil"/>
              <w:bottom w:val="single" w:sz="4" w:space="0" w:color="auto"/>
              <w:right w:val="nil"/>
            </w:tcBorders>
          </w:tcPr>
          <w:p w14:paraId="4A7B9F4E" w14:textId="77777777" w:rsidR="00455747" w:rsidRPr="00414499" w:rsidRDefault="00455747" w:rsidP="00FC41C5">
            <w:pPr>
              <w:pStyle w:val="ListParagraph"/>
              <w:spacing w:after="0" w:line="240" w:lineRule="auto"/>
              <w:ind w:left="0"/>
              <w:rPr>
                <w:rFonts w:ascii="Times New Roman" w:hAnsi="Times New Roman"/>
                <w:bCs/>
                <w:sz w:val="16"/>
                <w:szCs w:val="16"/>
              </w:rPr>
            </w:pPr>
          </w:p>
          <w:p w14:paraId="039B62AF" w14:textId="77777777" w:rsidR="00455747" w:rsidRPr="00414499" w:rsidRDefault="00455747">
            <w:pPr>
              <w:pStyle w:val="ListParagraph"/>
              <w:spacing w:after="0" w:line="240" w:lineRule="auto"/>
              <w:ind w:left="0"/>
              <w:jc w:val="center"/>
              <w:rPr>
                <w:rFonts w:ascii="Times New Roman" w:hAnsi="Times New Roman"/>
                <w:bCs/>
                <w:sz w:val="16"/>
                <w:szCs w:val="16"/>
              </w:rPr>
            </w:pPr>
            <w:r w:rsidRPr="00414499">
              <w:rPr>
                <w:rFonts w:ascii="Times New Roman" w:hAnsi="Times New Roman"/>
                <w:bCs/>
                <w:sz w:val="16"/>
                <w:szCs w:val="16"/>
              </w:rPr>
              <w:t>19</w:t>
            </w:r>
          </w:p>
          <w:p w14:paraId="7B2583E6" w14:textId="77777777" w:rsidR="00455747" w:rsidRPr="00414499" w:rsidRDefault="00455747">
            <w:pPr>
              <w:pStyle w:val="ListParagraph"/>
              <w:spacing w:after="0" w:line="240" w:lineRule="auto"/>
              <w:ind w:left="0"/>
              <w:jc w:val="center"/>
              <w:rPr>
                <w:rFonts w:ascii="Times New Roman" w:hAnsi="Times New Roman"/>
                <w:bCs/>
                <w:sz w:val="16"/>
                <w:szCs w:val="16"/>
              </w:rPr>
            </w:pPr>
            <w:r w:rsidRPr="00414499">
              <w:rPr>
                <w:rFonts w:ascii="Times New Roman" w:hAnsi="Times New Roman"/>
                <w:bCs/>
                <w:sz w:val="16"/>
                <w:szCs w:val="16"/>
              </w:rPr>
              <w:t>123</w:t>
            </w:r>
          </w:p>
          <w:p w14:paraId="2725CFAD" w14:textId="77777777" w:rsidR="00455747" w:rsidRPr="00414499" w:rsidRDefault="00455747" w:rsidP="00FC41C5">
            <w:pPr>
              <w:pStyle w:val="ListParagraph"/>
              <w:spacing w:after="0" w:line="240" w:lineRule="auto"/>
              <w:ind w:left="0"/>
              <w:rPr>
                <w:rFonts w:ascii="Times New Roman" w:hAnsi="Times New Roman"/>
                <w:bCs/>
                <w:sz w:val="16"/>
                <w:szCs w:val="16"/>
              </w:rPr>
            </w:pPr>
          </w:p>
          <w:p w14:paraId="709CDE56" w14:textId="77777777" w:rsidR="00455747" w:rsidRPr="00414499" w:rsidRDefault="00455747">
            <w:pPr>
              <w:pStyle w:val="ListParagraph"/>
              <w:spacing w:after="0" w:line="240" w:lineRule="auto"/>
              <w:ind w:left="0"/>
              <w:jc w:val="center"/>
              <w:rPr>
                <w:rFonts w:ascii="Times New Roman" w:hAnsi="Times New Roman"/>
                <w:bCs/>
                <w:sz w:val="16"/>
                <w:szCs w:val="16"/>
              </w:rPr>
            </w:pPr>
            <w:r w:rsidRPr="00414499">
              <w:rPr>
                <w:rFonts w:ascii="Times New Roman" w:hAnsi="Times New Roman"/>
                <w:bCs/>
                <w:sz w:val="16"/>
                <w:szCs w:val="16"/>
              </w:rPr>
              <w:t>29</w:t>
            </w:r>
          </w:p>
          <w:p w14:paraId="4D0A75D0" w14:textId="77777777" w:rsidR="00455747" w:rsidRPr="00414499" w:rsidRDefault="00455747">
            <w:pPr>
              <w:pStyle w:val="ListParagraph"/>
              <w:spacing w:after="0" w:line="240" w:lineRule="auto"/>
              <w:ind w:left="0"/>
              <w:jc w:val="center"/>
              <w:rPr>
                <w:rFonts w:ascii="Times New Roman" w:hAnsi="Times New Roman"/>
                <w:bCs/>
                <w:sz w:val="16"/>
                <w:szCs w:val="16"/>
              </w:rPr>
            </w:pPr>
            <w:r w:rsidRPr="00414499">
              <w:rPr>
                <w:rFonts w:ascii="Times New Roman" w:hAnsi="Times New Roman"/>
                <w:bCs/>
                <w:sz w:val="16"/>
                <w:szCs w:val="16"/>
              </w:rPr>
              <w:t>113</w:t>
            </w:r>
          </w:p>
          <w:p w14:paraId="049421E7" w14:textId="77777777" w:rsidR="00455747" w:rsidRPr="00414499" w:rsidRDefault="00455747" w:rsidP="00355F24">
            <w:pPr>
              <w:pStyle w:val="ListParagraph"/>
              <w:spacing w:after="0" w:line="240" w:lineRule="auto"/>
              <w:ind w:left="0"/>
              <w:rPr>
                <w:rFonts w:ascii="Times New Roman" w:hAnsi="Times New Roman"/>
                <w:bCs/>
                <w:sz w:val="16"/>
                <w:szCs w:val="16"/>
              </w:rPr>
            </w:pPr>
          </w:p>
          <w:p w14:paraId="5CD6DF16" w14:textId="77777777" w:rsidR="00FC41C5" w:rsidRDefault="00FC41C5">
            <w:pPr>
              <w:pStyle w:val="ListParagraph"/>
              <w:spacing w:after="0" w:line="240" w:lineRule="auto"/>
              <w:ind w:left="0"/>
              <w:jc w:val="center"/>
              <w:rPr>
                <w:rFonts w:ascii="Times New Roman" w:hAnsi="Times New Roman"/>
                <w:bCs/>
                <w:sz w:val="16"/>
                <w:szCs w:val="16"/>
              </w:rPr>
            </w:pPr>
          </w:p>
          <w:p w14:paraId="41E54F98" w14:textId="60169173" w:rsidR="00455747" w:rsidRPr="00414499" w:rsidRDefault="00455747">
            <w:pPr>
              <w:pStyle w:val="ListParagraph"/>
              <w:spacing w:after="0" w:line="240" w:lineRule="auto"/>
              <w:ind w:left="0"/>
              <w:jc w:val="center"/>
              <w:rPr>
                <w:rFonts w:ascii="Times New Roman" w:hAnsi="Times New Roman"/>
                <w:bCs/>
                <w:sz w:val="16"/>
                <w:szCs w:val="16"/>
              </w:rPr>
            </w:pPr>
            <w:r w:rsidRPr="00414499">
              <w:rPr>
                <w:rFonts w:ascii="Times New Roman" w:hAnsi="Times New Roman"/>
                <w:bCs/>
                <w:sz w:val="16"/>
                <w:szCs w:val="16"/>
              </w:rPr>
              <w:t>84</w:t>
            </w:r>
          </w:p>
          <w:p w14:paraId="152B484C" w14:textId="77777777" w:rsidR="00455747" w:rsidRPr="00414499" w:rsidRDefault="00455747">
            <w:pPr>
              <w:pStyle w:val="ListParagraph"/>
              <w:spacing w:after="0" w:line="240" w:lineRule="auto"/>
              <w:ind w:left="0"/>
              <w:jc w:val="center"/>
              <w:rPr>
                <w:rFonts w:ascii="Times New Roman" w:hAnsi="Times New Roman"/>
                <w:bCs/>
                <w:sz w:val="16"/>
                <w:szCs w:val="16"/>
              </w:rPr>
            </w:pPr>
            <w:r w:rsidRPr="00414499">
              <w:rPr>
                <w:rFonts w:ascii="Times New Roman" w:hAnsi="Times New Roman"/>
                <w:bCs/>
                <w:sz w:val="16"/>
                <w:szCs w:val="16"/>
              </w:rPr>
              <w:t>58</w:t>
            </w:r>
          </w:p>
        </w:tc>
        <w:tc>
          <w:tcPr>
            <w:tcW w:w="1135" w:type="dxa"/>
            <w:tcBorders>
              <w:top w:val="single" w:sz="4" w:space="0" w:color="auto"/>
              <w:left w:val="nil"/>
              <w:bottom w:val="single" w:sz="4" w:space="0" w:color="auto"/>
              <w:right w:val="nil"/>
            </w:tcBorders>
          </w:tcPr>
          <w:p w14:paraId="52EAAED1" w14:textId="77777777" w:rsidR="00455747" w:rsidRPr="00414499" w:rsidRDefault="00455747" w:rsidP="00FC41C5">
            <w:pPr>
              <w:pStyle w:val="ListParagraph"/>
              <w:spacing w:after="0" w:line="240" w:lineRule="auto"/>
              <w:ind w:left="0"/>
              <w:rPr>
                <w:rFonts w:ascii="Times New Roman" w:hAnsi="Times New Roman"/>
                <w:bCs/>
                <w:sz w:val="16"/>
                <w:szCs w:val="16"/>
              </w:rPr>
            </w:pPr>
          </w:p>
          <w:p w14:paraId="10416810" w14:textId="77777777" w:rsidR="00455747" w:rsidRPr="00414499" w:rsidRDefault="00455747">
            <w:pPr>
              <w:pStyle w:val="ListParagraph"/>
              <w:spacing w:after="0" w:line="240" w:lineRule="auto"/>
              <w:ind w:left="0"/>
              <w:jc w:val="center"/>
              <w:rPr>
                <w:rFonts w:ascii="Times New Roman" w:hAnsi="Times New Roman"/>
                <w:bCs/>
                <w:sz w:val="16"/>
                <w:szCs w:val="16"/>
              </w:rPr>
            </w:pPr>
            <w:r w:rsidRPr="00414499">
              <w:rPr>
                <w:rFonts w:ascii="Times New Roman" w:hAnsi="Times New Roman"/>
                <w:bCs/>
                <w:sz w:val="16"/>
                <w:szCs w:val="16"/>
              </w:rPr>
              <w:t>21.3</w:t>
            </w:r>
          </w:p>
          <w:p w14:paraId="3841E303" w14:textId="77777777" w:rsidR="00455747" w:rsidRPr="00414499" w:rsidRDefault="00455747">
            <w:pPr>
              <w:pStyle w:val="ListParagraph"/>
              <w:spacing w:after="0" w:line="240" w:lineRule="auto"/>
              <w:ind w:left="0"/>
              <w:jc w:val="center"/>
              <w:rPr>
                <w:rFonts w:ascii="Times New Roman" w:hAnsi="Times New Roman"/>
                <w:bCs/>
                <w:sz w:val="16"/>
                <w:szCs w:val="16"/>
              </w:rPr>
            </w:pPr>
            <w:r w:rsidRPr="00414499">
              <w:rPr>
                <w:rFonts w:ascii="Times New Roman" w:hAnsi="Times New Roman"/>
                <w:bCs/>
                <w:sz w:val="16"/>
                <w:szCs w:val="16"/>
              </w:rPr>
              <w:t>58.3</w:t>
            </w:r>
          </w:p>
          <w:p w14:paraId="156B9577" w14:textId="77777777" w:rsidR="00455747" w:rsidRPr="00414499" w:rsidRDefault="00455747" w:rsidP="00FC41C5">
            <w:pPr>
              <w:pStyle w:val="ListParagraph"/>
              <w:spacing w:after="0" w:line="240" w:lineRule="auto"/>
              <w:ind w:left="0"/>
              <w:rPr>
                <w:rFonts w:ascii="Times New Roman" w:hAnsi="Times New Roman"/>
                <w:bCs/>
                <w:sz w:val="16"/>
                <w:szCs w:val="16"/>
              </w:rPr>
            </w:pPr>
          </w:p>
          <w:p w14:paraId="5B51A6B5" w14:textId="77777777" w:rsidR="00455747" w:rsidRPr="00414499" w:rsidRDefault="00455747">
            <w:pPr>
              <w:pStyle w:val="ListParagraph"/>
              <w:spacing w:after="0" w:line="240" w:lineRule="auto"/>
              <w:ind w:left="0"/>
              <w:jc w:val="center"/>
              <w:rPr>
                <w:rFonts w:ascii="Times New Roman" w:hAnsi="Times New Roman"/>
                <w:bCs/>
                <w:sz w:val="16"/>
                <w:szCs w:val="16"/>
              </w:rPr>
            </w:pPr>
            <w:r w:rsidRPr="00414499">
              <w:rPr>
                <w:rFonts w:ascii="Times New Roman" w:hAnsi="Times New Roman"/>
                <w:bCs/>
                <w:sz w:val="16"/>
                <w:szCs w:val="16"/>
              </w:rPr>
              <w:t>26.1</w:t>
            </w:r>
          </w:p>
          <w:p w14:paraId="66755B99" w14:textId="77777777" w:rsidR="00455747" w:rsidRPr="00414499" w:rsidRDefault="00455747">
            <w:pPr>
              <w:pStyle w:val="ListParagraph"/>
              <w:spacing w:after="0" w:line="240" w:lineRule="auto"/>
              <w:ind w:left="0"/>
              <w:jc w:val="center"/>
              <w:rPr>
                <w:rFonts w:ascii="Times New Roman" w:hAnsi="Times New Roman"/>
                <w:bCs/>
                <w:sz w:val="16"/>
                <w:szCs w:val="16"/>
              </w:rPr>
            </w:pPr>
            <w:r w:rsidRPr="00414499">
              <w:rPr>
                <w:rFonts w:ascii="Times New Roman" w:hAnsi="Times New Roman"/>
                <w:bCs/>
                <w:sz w:val="16"/>
                <w:szCs w:val="16"/>
              </w:rPr>
              <w:t>59.8</w:t>
            </w:r>
          </w:p>
          <w:p w14:paraId="439D6C06" w14:textId="77777777" w:rsidR="00455747" w:rsidRPr="00414499" w:rsidRDefault="00455747" w:rsidP="00355F24">
            <w:pPr>
              <w:pStyle w:val="ListParagraph"/>
              <w:spacing w:after="0" w:line="240" w:lineRule="auto"/>
              <w:ind w:left="0"/>
              <w:rPr>
                <w:rFonts w:ascii="Times New Roman" w:hAnsi="Times New Roman"/>
                <w:bCs/>
                <w:sz w:val="16"/>
                <w:szCs w:val="16"/>
              </w:rPr>
            </w:pPr>
          </w:p>
          <w:p w14:paraId="42892F61" w14:textId="77777777" w:rsidR="00FC41C5" w:rsidRDefault="00FC41C5">
            <w:pPr>
              <w:pStyle w:val="ListParagraph"/>
              <w:spacing w:after="0" w:line="240" w:lineRule="auto"/>
              <w:ind w:left="0"/>
              <w:jc w:val="center"/>
              <w:rPr>
                <w:rFonts w:ascii="Times New Roman" w:hAnsi="Times New Roman"/>
                <w:bCs/>
                <w:sz w:val="16"/>
                <w:szCs w:val="16"/>
              </w:rPr>
            </w:pPr>
          </w:p>
          <w:p w14:paraId="094607B6" w14:textId="3A3947ED" w:rsidR="00455747" w:rsidRPr="00414499" w:rsidRDefault="00455747">
            <w:pPr>
              <w:pStyle w:val="ListParagraph"/>
              <w:spacing w:after="0" w:line="240" w:lineRule="auto"/>
              <w:ind w:left="0"/>
              <w:jc w:val="center"/>
              <w:rPr>
                <w:rFonts w:ascii="Times New Roman" w:hAnsi="Times New Roman"/>
                <w:bCs/>
                <w:sz w:val="16"/>
                <w:szCs w:val="16"/>
              </w:rPr>
            </w:pPr>
            <w:r w:rsidRPr="00414499">
              <w:rPr>
                <w:rFonts w:ascii="Times New Roman" w:hAnsi="Times New Roman"/>
                <w:bCs/>
                <w:sz w:val="16"/>
                <w:szCs w:val="16"/>
              </w:rPr>
              <w:t>51.2</w:t>
            </w:r>
          </w:p>
          <w:p w14:paraId="5EA28950" w14:textId="77777777" w:rsidR="00455747" w:rsidRPr="00414499" w:rsidRDefault="00455747">
            <w:pPr>
              <w:pStyle w:val="ListParagraph"/>
              <w:spacing w:after="0" w:line="240" w:lineRule="auto"/>
              <w:ind w:left="0"/>
              <w:jc w:val="center"/>
              <w:rPr>
                <w:rFonts w:ascii="Times New Roman" w:hAnsi="Times New Roman"/>
                <w:bCs/>
                <w:sz w:val="16"/>
                <w:szCs w:val="16"/>
              </w:rPr>
            </w:pPr>
            <w:r w:rsidRPr="00414499">
              <w:rPr>
                <w:rFonts w:ascii="Times New Roman" w:hAnsi="Times New Roman"/>
                <w:bCs/>
                <w:sz w:val="16"/>
                <w:szCs w:val="16"/>
              </w:rPr>
              <w:t>42.6</w:t>
            </w:r>
          </w:p>
        </w:tc>
        <w:tc>
          <w:tcPr>
            <w:tcW w:w="564" w:type="dxa"/>
            <w:tcBorders>
              <w:top w:val="single" w:sz="4" w:space="0" w:color="auto"/>
              <w:left w:val="nil"/>
              <w:bottom w:val="single" w:sz="4" w:space="0" w:color="auto"/>
              <w:right w:val="nil"/>
            </w:tcBorders>
          </w:tcPr>
          <w:p w14:paraId="280EEF55" w14:textId="77777777" w:rsidR="00455747" w:rsidRPr="00414499" w:rsidRDefault="00455747" w:rsidP="00FC41C5">
            <w:pPr>
              <w:pStyle w:val="ListParagraph"/>
              <w:spacing w:after="0" w:line="240" w:lineRule="auto"/>
              <w:ind w:left="0"/>
              <w:rPr>
                <w:rFonts w:ascii="Times New Roman" w:hAnsi="Times New Roman"/>
                <w:bCs/>
                <w:sz w:val="16"/>
                <w:szCs w:val="16"/>
              </w:rPr>
            </w:pPr>
          </w:p>
          <w:p w14:paraId="60004F57" w14:textId="77777777" w:rsidR="00455747" w:rsidRPr="00414499" w:rsidRDefault="00455747">
            <w:pPr>
              <w:pStyle w:val="ListParagraph"/>
              <w:spacing w:after="0" w:line="240" w:lineRule="auto"/>
              <w:ind w:left="0"/>
              <w:jc w:val="center"/>
              <w:rPr>
                <w:rFonts w:ascii="Times New Roman" w:hAnsi="Times New Roman"/>
                <w:bCs/>
                <w:sz w:val="16"/>
                <w:szCs w:val="16"/>
              </w:rPr>
            </w:pPr>
            <w:r w:rsidRPr="00414499">
              <w:rPr>
                <w:rFonts w:ascii="Times New Roman" w:hAnsi="Times New Roman"/>
                <w:bCs/>
                <w:sz w:val="16"/>
                <w:szCs w:val="16"/>
              </w:rPr>
              <w:t>89</w:t>
            </w:r>
          </w:p>
          <w:p w14:paraId="06F0B70B" w14:textId="77777777" w:rsidR="00455747" w:rsidRPr="00414499" w:rsidRDefault="00455747">
            <w:pPr>
              <w:pStyle w:val="ListParagraph"/>
              <w:spacing w:after="0" w:line="240" w:lineRule="auto"/>
              <w:ind w:left="0"/>
              <w:jc w:val="center"/>
              <w:rPr>
                <w:rFonts w:ascii="Times New Roman" w:hAnsi="Times New Roman"/>
                <w:bCs/>
                <w:sz w:val="16"/>
                <w:szCs w:val="16"/>
              </w:rPr>
            </w:pPr>
            <w:r w:rsidRPr="00414499">
              <w:rPr>
                <w:rFonts w:ascii="Times New Roman" w:hAnsi="Times New Roman"/>
                <w:bCs/>
                <w:sz w:val="16"/>
                <w:szCs w:val="16"/>
              </w:rPr>
              <w:t>211</w:t>
            </w:r>
          </w:p>
          <w:p w14:paraId="4280C4D2" w14:textId="77777777" w:rsidR="00455747" w:rsidRPr="00414499" w:rsidRDefault="00455747" w:rsidP="00FC41C5">
            <w:pPr>
              <w:pStyle w:val="ListParagraph"/>
              <w:spacing w:after="0" w:line="240" w:lineRule="auto"/>
              <w:ind w:left="0"/>
              <w:rPr>
                <w:rFonts w:ascii="Times New Roman" w:hAnsi="Times New Roman"/>
                <w:bCs/>
                <w:sz w:val="16"/>
                <w:szCs w:val="16"/>
              </w:rPr>
            </w:pPr>
          </w:p>
          <w:p w14:paraId="610B8407" w14:textId="77777777" w:rsidR="00455747" w:rsidRPr="00414499" w:rsidRDefault="00455747">
            <w:pPr>
              <w:pStyle w:val="ListParagraph"/>
              <w:spacing w:after="0" w:line="240" w:lineRule="auto"/>
              <w:ind w:left="0"/>
              <w:jc w:val="center"/>
              <w:rPr>
                <w:rFonts w:ascii="Times New Roman" w:hAnsi="Times New Roman"/>
                <w:bCs/>
                <w:sz w:val="16"/>
                <w:szCs w:val="16"/>
              </w:rPr>
            </w:pPr>
            <w:r w:rsidRPr="00414499">
              <w:rPr>
                <w:rFonts w:ascii="Times New Roman" w:hAnsi="Times New Roman"/>
                <w:bCs/>
                <w:sz w:val="16"/>
                <w:szCs w:val="16"/>
              </w:rPr>
              <w:t>111</w:t>
            </w:r>
          </w:p>
          <w:p w14:paraId="11D4F549" w14:textId="77777777" w:rsidR="00455747" w:rsidRPr="00414499" w:rsidRDefault="00455747">
            <w:pPr>
              <w:pStyle w:val="ListParagraph"/>
              <w:spacing w:after="0" w:line="240" w:lineRule="auto"/>
              <w:ind w:left="0"/>
              <w:jc w:val="center"/>
              <w:rPr>
                <w:rFonts w:ascii="Times New Roman" w:hAnsi="Times New Roman"/>
                <w:bCs/>
                <w:sz w:val="16"/>
                <w:szCs w:val="16"/>
              </w:rPr>
            </w:pPr>
            <w:r w:rsidRPr="00414499">
              <w:rPr>
                <w:rFonts w:ascii="Times New Roman" w:hAnsi="Times New Roman"/>
                <w:bCs/>
                <w:sz w:val="16"/>
                <w:szCs w:val="16"/>
              </w:rPr>
              <w:t>189</w:t>
            </w:r>
          </w:p>
          <w:p w14:paraId="790ADC90" w14:textId="77777777" w:rsidR="00455747" w:rsidRPr="00414499" w:rsidRDefault="00455747" w:rsidP="00355F24">
            <w:pPr>
              <w:pStyle w:val="ListParagraph"/>
              <w:spacing w:after="0" w:line="240" w:lineRule="auto"/>
              <w:ind w:left="0"/>
              <w:rPr>
                <w:rFonts w:ascii="Times New Roman" w:hAnsi="Times New Roman"/>
                <w:bCs/>
                <w:sz w:val="16"/>
                <w:szCs w:val="16"/>
              </w:rPr>
            </w:pPr>
          </w:p>
          <w:p w14:paraId="1D7673E9" w14:textId="77777777" w:rsidR="00FC41C5" w:rsidRDefault="00FC41C5">
            <w:pPr>
              <w:pStyle w:val="ListParagraph"/>
              <w:spacing w:after="0" w:line="240" w:lineRule="auto"/>
              <w:ind w:left="0"/>
              <w:jc w:val="center"/>
              <w:rPr>
                <w:rFonts w:ascii="Times New Roman" w:hAnsi="Times New Roman"/>
                <w:bCs/>
                <w:sz w:val="16"/>
                <w:szCs w:val="16"/>
              </w:rPr>
            </w:pPr>
          </w:p>
          <w:p w14:paraId="30BC884F" w14:textId="23EB85BD" w:rsidR="00455747" w:rsidRPr="00414499" w:rsidRDefault="00455747">
            <w:pPr>
              <w:pStyle w:val="ListParagraph"/>
              <w:spacing w:after="0" w:line="240" w:lineRule="auto"/>
              <w:ind w:left="0"/>
              <w:jc w:val="center"/>
              <w:rPr>
                <w:rFonts w:ascii="Times New Roman" w:hAnsi="Times New Roman"/>
                <w:bCs/>
                <w:sz w:val="16"/>
                <w:szCs w:val="16"/>
              </w:rPr>
            </w:pPr>
            <w:r w:rsidRPr="00414499">
              <w:rPr>
                <w:rFonts w:ascii="Times New Roman" w:hAnsi="Times New Roman"/>
                <w:bCs/>
                <w:sz w:val="16"/>
                <w:szCs w:val="16"/>
              </w:rPr>
              <w:t>1</w:t>
            </w:r>
            <w:r w:rsidR="002C1095" w:rsidRPr="00414499">
              <w:rPr>
                <w:rFonts w:ascii="Times New Roman" w:hAnsi="Times New Roman"/>
                <w:bCs/>
                <w:sz w:val="16"/>
                <w:szCs w:val="16"/>
              </w:rPr>
              <w:t>64</w:t>
            </w:r>
          </w:p>
          <w:p w14:paraId="4BC60C40" w14:textId="0C197117" w:rsidR="00455747" w:rsidRPr="00414499" w:rsidRDefault="00455747">
            <w:pPr>
              <w:pStyle w:val="ListParagraph"/>
              <w:spacing w:after="0" w:line="240" w:lineRule="auto"/>
              <w:ind w:left="0"/>
              <w:jc w:val="center"/>
              <w:rPr>
                <w:rFonts w:ascii="Times New Roman" w:hAnsi="Times New Roman"/>
                <w:bCs/>
                <w:sz w:val="16"/>
                <w:szCs w:val="16"/>
              </w:rPr>
            </w:pPr>
            <w:r w:rsidRPr="00414499">
              <w:rPr>
                <w:rFonts w:ascii="Times New Roman" w:hAnsi="Times New Roman"/>
                <w:bCs/>
                <w:sz w:val="16"/>
                <w:szCs w:val="16"/>
              </w:rPr>
              <w:t>1</w:t>
            </w:r>
            <w:r w:rsidR="002C1095" w:rsidRPr="00414499">
              <w:rPr>
                <w:rFonts w:ascii="Times New Roman" w:hAnsi="Times New Roman"/>
                <w:bCs/>
                <w:sz w:val="16"/>
                <w:szCs w:val="16"/>
              </w:rPr>
              <w:t>36</w:t>
            </w:r>
          </w:p>
        </w:tc>
        <w:tc>
          <w:tcPr>
            <w:tcW w:w="567" w:type="dxa"/>
            <w:tcBorders>
              <w:top w:val="single" w:sz="4" w:space="0" w:color="auto"/>
              <w:left w:val="nil"/>
              <w:bottom w:val="single" w:sz="4" w:space="0" w:color="auto"/>
              <w:right w:val="nil"/>
            </w:tcBorders>
          </w:tcPr>
          <w:p w14:paraId="7055DD27" w14:textId="77777777" w:rsidR="00455747" w:rsidRPr="00414499" w:rsidRDefault="00455747" w:rsidP="00FC41C5">
            <w:pPr>
              <w:pStyle w:val="ListParagraph"/>
              <w:spacing w:after="0" w:line="240" w:lineRule="auto"/>
              <w:ind w:left="0"/>
              <w:rPr>
                <w:rFonts w:ascii="Times New Roman" w:hAnsi="Times New Roman"/>
                <w:bCs/>
                <w:sz w:val="16"/>
                <w:szCs w:val="16"/>
              </w:rPr>
            </w:pPr>
          </w:p>
          <w:p w14:paraId="2912250B" w14:textId="77777777" w:rsidR="00455747" w:rsidRPr="00414499" w:rsidRDefault="00455747">
            <w:pPr>
              <w:pStyle w:val="ListParagraph"/>
              <w:spacing w:after="0" w:line="240" w:lineRule="auto"/>
              <w:ind w:left="0"/>
              <w:jc w:val="center"/>
              <w:rPr>
                <w:rFonts w:ascii="Times New Roman" w:hAnsi="Times New Roman"/>
                <w:bCs/>
                <w:sz w:val="16"/>
                <w:szCs w:val="16"/>
              </w:rPr>
            </w:pPr>
            <w:r w:rsidRPr="00414499">
              <w:rPr>
                <w:rFonts w:ascii="Times New Roman" w:hAnsi="Times New Roman"/>
                <w:bCs/>
                <w:sz w:val="16"/>
                <w:szCs w:val="16"/>
              </w:rPr>
              <w:t>100</w:t>
            </w:r>
          </w:p>
          <w:p w14:paraId="3823E4D9" w14:textId="77777777" w:rsidR="00455747" w:rsidRPr="00414499" w:rsidRDefault="00455747">
            <w:pPr>
              <w:pStyle w:val="ListParagraph"/>
              <w:spacing w:after="0" w:line="240" w:lineRule="auto"/>
              <w:ind w:left="0"/>
              <w:jc w:val="center"/>
              <w:rPr>
                <w:rFonts w:ascii="Times New Roman" w:hAnsi="Times New Roman"/>
                <w:bCs/>
                <w:sz w:val="16"/>
                <w:szCs w:val="16"/>
              </w:rPr>
            </w:pPr>
            <w:r w:rsidRPr="00414499">
              <w:rPr>
                <w:rFonts w:ascii="Times New Roman" w:hAnsi="Times New Roman"/>
                <w:bCs/>
                <w:sz w:val="16"/>
                <w:szCs w:val="16"/>
              </w:rPr>
              <w:t>100</w:t>
            </w:r>
          </w:p>
          <w:p w14:paraId="64827464" w14:textId="77777777" w:rsidR="00455747" w:rsidRPr="00414499" w:rsidRDefault="00455747" w:rsidP="00FC41C5">
            <w:pPr>
              <w:pStyle w:val="ListParagraph"/>
              <w:spacing w:after="0" w:line="240" w:lineRule="auto"/>
              <w:ind w:left="0"/>
              <w:rPr>
                <w:rFonts w:ascii="Times New Roman" w:hAnsi="Times New Roman"/>
                <w:bCs/>
                <w:sz w:val="16"/>
                <w:szCs w:val="16"/>
              </w:rPr>
            </w:pPr>
          </w:p>
          <w:p w14:paraId="7BB7FF55" w14:textId="77777777" w:rsidR="00455747" w:rsidRPr="00414499" w:rsidRDefault="00455747">
            <w:pPr>
              <w:pStyle w:val="ListParagraph"/>
              <w:spacing w:after="0" w:line="240" w:lineRule="auto"/>
              <w:ind w:left="0"/>
              <w:jc w:val="center"/>
              <w:rPr>
                <w:rFonts w:ascii="Times New Roman" w:hAnsi="Times New Roman"/>
                <w:bCs/>
                <w:sz w:val="16"/>
                <w:szCs w:val="16"/>
              </w:rPr>
            </w:pPr>
            <w:r w:rsidRPr="00414499">
              <w:rPr>
                <w:rFonts w:ascii="Times New Roman" w:hAnsi="Times New Roman"/>
                <w:bCs/>
                <w:sz w:val="16"/>
                <w:szCs w:val="16"/>
              </w:rPr>
              <w:t>100</w:t>
            </w:r>
          </w:p>
          <w:p w14:paraId="5CCB6C5E" w14:textId="77777777" w:rsidR="00455747" w:rsidRPr="00414499" w:rsidRDefault="00455747">
            <w:pPr>
              <w:pStyle w:val="ListParagraph"/>
              <w:spacing w:after="0" w:line="240" w:lineRule="auto"/>
              <w:ind w:left="0"/>
              <w:jc w:val="center"/>
              <w:rPr>
                <w:rFonts w:ascii="Times New Roman" w:hAnsi="Times New Roman"/>
                <w:bCs/>
                <w:sz w:val="16"/>
                <w:szCs w:val="16"/>
              </w:rPr>
            </w:pPr>
            <w:r w:rsidRPr="00414499">
              <w:rPr>
                <w:rFonts w:ascii="Times New Roman" w:hAnsi="Times New Roman"/>
                <w:bCs/>
                <w:sz w:val="16"/>
                <w:szCs w:val="16"/>
              </w:rPr>
              <w:t>100</w:t>
            </w:r>
          </w:p>
          <w:p w14:paraId="153C344E" w14:textId="77777777" w:rsidR="00455747" w:rsidRPr="00414499" w:rsidRDefault="00455747" w:rsidP="00355F24">
            <w:pPr>
              <w:pStyle w:val="ListParagraph"/>
              <w:spacing w:after="0" w:line="240" w:lineRule="auto"/>
              <w:ind w:left="0"/>
              <w:rPr>
                <w:rFonts w:ascii="Times New Roman" w:hAnsi="Times New Roman"/>
                <w:bCs/>
                <w:sz w:val="16"/>
                <w:szCs w:val="16"/>
              </w:rPr>
            </w:pPr>
          </w:p>
          <w:p w14:paraId="71CFA45E" w14:textId="77777777" w:rsidR="00FC41C5" w:rsidRDefault="00FC41C5">
            <w:pPr>
              <w:pStyle w:val="ListParagraph"/>
              <w:spacing w:after="0" w:line="240" w:lineRule="auto"/>
              <w:ind w:left="0"/>
              <w:jc w:val="center"/>
              <w:rPr>
                <w:rFonts w:ascii="Times New Roman" w:hAnsi="Times New Roman"/>
                <w:bCs/>
                <w:sz w:val="16"/>
                <w:szCs w:val="16"/>
              </w:rPr>
            </w:pPr>
          </w:p>
          <w:p w14:paraId="41AF4F28" w14:textId="644979B9" w:rsidR="00455747" w:rsidRPr="00414499" w:rsidRDefault="00455747">
            <w:pPr>
              <w:pStyle w:val="ListParagraph"/>
              <w:spacing w:after="0" w:line="240" w:lineRule="auto"/>
              <w:ind w:left="0"/>
              <w:jc w:val="center"/>
              <w:rPr>
                <w:rFonts w:ascii="Times New Roman" w:hAnsi="Times New Roman"/>
                <w:bCs/>
                <w:sz w:val="16"/>
                <w:szCs w:val="16"/>
              </w:rPr>
            </w:pPr>
            <w:r w:rsidRPr="00414499">
              <w:rPr>
                <w:rFonts w:ascii="Times New Roman" w:hAnsi="Times New Roman"/>
                <w:bCs/>
                <w:sz w:val="16"/>
                <w:szCs w:val="16"/>
              </w:rPr>
              <w:t>100</w:t>
            </w:r>
          </w:p>
          <w:p w14:paraId="7D7C928F" w14:textId="77777777" w:rsidR="00455747" w:rsidRPr="00414499" w:rsidRDefault="00455747">
            <w:pPr>
              <w:pStyle w:val="ListParagraph"/>
              <w:spacing w:after="0" w:line="240" w:lineRule="auto"/>
              <w:ind w:left="0"/>
              <w:jc w:val="center"/>
              <w:rPr>
                <w:rFonts w:ascii="Times New Roman" w:hAnsi="Times New Roman"/>
                <w:bCs/>
                <w:sz w:val="16"/>
                <w:szCs w:val="16"/>
              </w:rPr>
            </w:pPr>
            <w:r w:rsidRPr="00414499">
              <w:rPr>
                <w:rFonts w:ascii="Times New Roman" w:hAnsi="Times New Roman"/>
                <w:bCs/>
                <w:sz w:val="16"/>
                <w:szCs w:val="16"/>
              </w:rPr>
              <w:t>100</w:t>
            </w:r>
          </w:p>
        </w:tc>
        <w:tc>
          <w:tcPr>
            <w:tcW w:w="1418" w:type="dxa"/>
            <w:tcBorders>
              <w:top w:val="single" w:sz="4" w:space="0" w:color="auto"/>
              <w:left w:val="nil"/>
              <w:bottom w:val="single" w:sz="4" w:space="0" w:color="auto"/>
              <w:right w:val="nil"/>
            </w:tcBorders>
          </w:tcPr>
          <w:p w14:paraId="00CBD31F" w14:textId="77777777" w:rsidR="00455747" w:rsidRPr="00414499" w:rsidRDefault="00455747" w:rsidP="00FC41C5">
            <w:pPr>
              <w:pStyle w:val="ListParagraph"/>
              <w:spacing w:after="0" w:line="240" w:lineRule="auto"/>
              <w:ind w:left="0"/>
              <w:rPr>
                <w:rFonts w:ascii="Times New Roman" w:hAnsi="Times New Roman"/>
                <w:bCs/>
                <w:sz w:val="16"/>
                <w:szCs w:val="16"/>
              </w:rPr>
            </w:pPr>
          </w:p>
          <w:p w14:paraId="266EFFAA" w14:textId="6F3FF101" w:rsidR="00455747" w:rsidRPr="00414499" w:rsidRDefault="00455747">
            <w:pPr>
              <w:pStyle w:val="ListParagraph"/>
              <w:spacing w:after="0" w:line="240" w:lineRule="auto"/>
              <w:ind w:left="0"/>
              <w:jc w:val="center"/>
              <w:rPr>
                <w:rFonts w:ascii="Times New Roman" w:hAnsi="Times New Roman"/>
                <w:bCs/>
                <w:sz w:val="16"/>
                <w:szCs w:val="16"/>
              </w:rPr>
            </w:pPr>
            <w:r w:rsidRPr="00414499">
              <w:rPr>
                <w:rFonts w:ascii="Times New Roman" w:hAnsi="Times New Roman"/>
                <w:bCs/>
                <w:sz w:val="16"/>
                <w:szCs w:val="16"/>
              </w:rPr>
              <w:t>5</w:t>
            </w:r>
            <w:r w:rsidR="00FE2C3D" w:rsidRPr="00414499">
              <w:rPr>
                <w:rFonts w:ascii="Times New Roman" w:hAnsi="Times New Roman"/>
                <w:bCs/>
                <w:sz w:val="16"/>
                <w:szCs w:val="16"/>
              </w:rPr>
              <w:t>.</w:t>
            </w:r>
            <w:r w:rsidRPr="00414499">
              <w:rPr>
                <w:rFonts w:ascii="Times New Roman" w:hAnsi="Times New Roman"/>
                <w:bCs/>
                <w:sz w:val="16"/>
                <w:szCs w:val="16"/>
              </w:rPr>
              <w:t>150</w:t>
            </w:r>
          </w:p>
          <w:p w14:paraId="0B52E777" w14:textId="2A44AB99" w:rsidR="00455747" w:rsidRPr="00414499" w:rsidRDefault="00455747">
            <w:pPr>
              <w:pStyle w:val="ListParagraph"/>
              <w:spacing w:after="0" w:line="240" w:lineRule="auto"/>
              <w:ind w:left="0"/>
              <w:jc w:val="center"/>
              <w:rPr>
                <w:rFonts w:ascii="Times New Roman" w:hAnsi="Times New Roman"/>
                <w:bCs/>
                <w:sz w:val="16"/>
                <w:szCs w:val="16"/>
              </w:rPr>
            </w:pPr>
            <w:r w:rsidRPr="00414499">
              <w:rPr>
                <w:rFonts w:ascii="Times New Roman" w:hAnsi="Times New Roman"/>
                <w:bCs/>
                <w:sz w:val="16"/>
                <w:szCs w:val="16"/>
              </w:rPr>
              <w:t>(2</w:t>
            </w:r>
            <w:r w:rsidR="00FE2C3D" w:rsidRPr="00414499">
              <w:rPr>
                <w:rFonts w:ascii="Times New Roman" w:hAnsi="Times New Roman"/>
                <w:bCs/>
                <w:sz w:val="16"/>
                <w:szCs w:val="16"/>
              </w:rPr>
              <w:t>.</w:t>
            </w:r>
            <w:r w:rsidRPr="00414499">
              <w:rPr>
                <w:rFonts w:ascii="Times New Roman" w:hAnsi="Times New Roman"/>
                <w:bCs/>
                <w:sz w:val="16"/>
                <w:szCs w:val="16"/>
              </w:rPr>
              <w:t>894-9</w:t>
            </w:r>
            <w:r w:rsidR="00FE2C3D" w:rsidRPr="00414499">
              <w:rPr>
                <w:rFonts w:ascii="Times New Roman" w:hAnsi="Times New Roman"/>
                <w:bCs/>
                <w:sz w:val="16"/>
                <w:szCs w:val="16"/>
              </w:rPr>
              <w:t>.</w:t>
            </w:r>
            <w:r w:rsidRPr="00414499">
              <w:rPr>
                <w:rFonts w:ascii="Times New Roman" w:hAnsi="Times New Roman"/>
                <w:bCs/>
                <w:sz w:val="16"/>
                <w:szCs w:val="16"/>
              </w:rPr>
              <w:t>162)</w:t>
            </w:r>
          </w:p>
          <w:p w14:paraId="7157CE3C" w14:textId="77777777" w:rsidR="00455747" w:rsidRPr="00414499" w:rsidRDefault="00455747" w:rsidP="00FC41C5">
            <w:pPr>
              <w:pStyle w:val="ListParagraph"/>
              <w:spacing w:after="0" w:line="240" w:lineRule="auto"/>
              <w:ind w:left="0"/>
              <w:rPr>
                <w:rFonts w:ascii="Times New Roman" w:hAnsi="Times New Roman"/>
                <w:bCs/>
                <w:sz w:val="16"/>
                <w:szCs w:val="16"/>
              </w:rPr>
            </w:pPr>
          </w:p>
          <w:p w14:paraId="508FC9D9" w14:textId="3DEC4D9D" w:rsidR="00455747" w:rsidRPr="00414499" w:rsidRDefault="00455747">
            <w:pPr>
              <w:pStyle w:val="ListParagraph"/>
              <w:spacing w:after="0" w:line="240" w:lineRule="auto"/>
              <w:ind w:left="0"/>
              <w:jc w:val="center"/>
              <w:rPr>
                <w:rFonts w:ascii="Times New Roman" w:hAnsi="Times New Roman"/>
                <w:bCs/>
                <w:sz w:val="16"/>
                <w:szCs w:val="16"/>
              </w:rPr>
            </w:pPr>
            <w:r w:rsidRPr="00414499">
              <w:rPr>
                <w:rFonts w:ascii="Times New Roman" w:hAnsi="Times New Roman"/>
                <w:bCs/>
                <w:sz w:val="16"/>
                <w:szCs w:val="16"/>
              </w:rPr>
              <w:t>4</w:t>
            </w:r>
            <w:r w:rsidR="00FE2C3D" w:rsidRPr="00414499">
              <w:rPr>
                <w:rFonts w:ascii="Times New Roman" w:hAnsi="Times New Roman"/>
                <w:bCs/>
                <w:sz w:val="16"/>
                <w:szCs w:val="16"/>
              </w:rPr>
              <w:t>.</w:t>
            </w:r>
            <w:r w:rsidRPr="00414499">
              <w:rPr>
                <w:rFonts w:ascii="Times New Roman" w:hAnsi="Times New Roman"/>
                <w:bCs/>
                <w:sz w:val="16"/>
                <w:szCs w:val="16"/>
              </w:rPr>
              <w:t>204</w:t>
            </w:r>
          </w:p>
          <w:p w14:paraId="373F573C" w14:textId="51FA340D" w:rsidR="00455747" w:rsidRPr="00414499" w:rsidRDefault="00455747">
            <w:pPr>
              <w:pStyle w:val="ListParagraph"/>
              <w:spacing w:after="0" w:line="240" w:lineRule="auto"/>
              <w:ind w:left="0"/>
              <w:jc w:val="center"/>
              <w:rPr>
                <w:rFonts w:ascii="Times New Roman" w:hAnsi="Times New Roman"/>
                <w:bCs/>
                <w:sz w:val="16"/>
                <w:szCs w:val="16"/>
              </w:rPr>
            </w:pPr>
            <w:r w:rsidRPr="00414499">
              <w:rPr>
                <w:rFonts w:ascii="Times New Roman" w:hAnsi="Times New Roman"/>
                <w:bCs/>
                <w:sz w:val="16"/>
                <w:szCs w:val="16"/>
              </w:rPr>
              <w:t>(2</w:t>
            </w:r>
            <w:r w:rsidR="00FE2C3D" w:rsidRPr="00414499">
              <w:rPr>
                <w:rFonts w:ascii="Times New Roman" w:hAnsi="Times New Roman"/>
                <w:bCs/>
                <w:sz w:val="16"/>
                <w:szCs w:val="16"/>
              </w:rPr>
              <w:t>.</w:t>
            </w:r>
            <w:r w:rsidRPr="00414499">
              <w:rPr>
                <w:rFonts w:ascii="Times New Roman" w:hAnsi="Times New Roman"/>
                <w:bCs/>
                <w:sz w:val="16"/>
                <w:szCs w:val="16"/>
              </w:rPr>
              <w:t>515-7</w:t>
            </w:r>
            <w:r w:rsidR="00FE2C3D" w:rsidRPr="00414499">
              <w:rPr>
                <w:rFonts w:ascii="Times New Roman" w:hAnsi="Times New Roman"/>
                <w:bCs/>
                <w:sz w:val="16"/>
                <w:szCs w:val="16"/>
              </w:rPr>
              <w:t>.</w:t>
            </w:r>
            <w:r w:rsidRPr="00414499">
              <w:rPr>
                <w:rFonts w:ascii="Times New Roman" w:hAnsi="Times New Roman"/>
                <w:bCs/>
                <w:sz w:val="16"/>
                <w:szCs w:val="16"/>
              </w:rPr>
              <w:t>027)</w:t>
            </w:r>
          </w:p>
          <w:p w14:paraId="3ADB2112" w14:textId="77777777" w:rsidR="00455747" w:rsidRPr="00414499" w:rsidRDefault="00455747" w:rsidP="00355F24">
            <w:pPr>
              <w:pStyle w:val="ListParagraph"/>
              <w:spacing w:after="0" w:line="240" w:lineRule="auto"/>
              <w:ind w:left="0"/>
              <w:rPr>
                <w:rFonts w:ascii="Times New Roman" w:hAnsi="Times New Roman"/>
                <w:bCs/>
                <w:sz w:val="16"/>
                <w:szCs w:val="16"/>
              </w:rPr>
            </w:pPr>
          </w:p>
          <w:p w14:paraId="7A2394F7" w14:textId="77777777" w:rsidR="00FC41C5" w:rsidRDefault="00FC41C5">
            <w:pPr>
              <w:pStyle w:val="ListParagraph"/>
              <w:spacing w:after="0" w:line="240" w:lineRule="auto"/>
              <w:ind w:left="0"/>
              <w:jc w:val="center"/>
              <w:rPr>
                <w:rFonts w:ascii="Times New Roman" w:hAnsi="Times New Roman"/>
                <w:bCs/>
                <w:sz w:val="16"/>
                <w:szCs w:val="16"/>
              </w:rPr>
            </w:pPr>
          </w:p>
          <w:p w14:paraId="03908C4E" w14:textId="45E19525" w:rsidR="00455747" w:rsidRPr="00414499" w:rsidRDefault="00455747">
            <w:pPr>
              <w:pStyle w:val="ListParagraph"/>
              <w:spacing w:after="0" w:line="240" w:lineRule="auto"/>
              <w:ind w:left="0"/>
              <w:jc w:val="center"/>
              <w:rPr>
                <w:rFonts w:ascii="Times New Roman" w:hAnsi="Times New Roman"/>
                <w:bCs/>
                <w:sz w:val="16"/>
                <w:szCs w:val="16"/>
              </w:rPr>
            </w:pPr>
            <w:r w:rsidRPr="00414499">
              <w:rPr>
                <w:rFonts w:ascii="Times New Roman" w:hAnsi="Times New Roman"/>
                <w:bCs/>
                <w:sz w:val="16"/>
                <w:szCs w:val="16"/>
              </w:rPr>
              <w:t>0</w:t>
            </w:r>
            <w:r w:rsidR="00FE2C3D" w:rsidRPr="00414499">
              <w:rPr>
                <w:rFonts w:ascii="Times New Roman" w:hAnsi="Times New Roman"/>
                <w:bCs/>
                <w:sz w:val="16"/>
                <w:szCs w:val="16"/>
              </w:rPr>
              <w:t>.</w:t>
            </w:r>
            <w:r w:rsidRPr="00414499">
              <w:rPr>
                <w:rFonts w:ascii="Times New Roman" w:hAnsi="Times New Roman"/>
                <w:bCs/>
                <w:sz w:val="16"/>
                <w:szCs w:val="16"/>
              </w:rPr>
              <w:t>708</w:t>
            </w:r>
          </w:p>
          <w:p w14:paraId="5B633ADD" w14:textId="7B421221" w:rsidR="00455747" w:rsidRPr="00414499" w:rsidRDefault="00455747">
            <w:pPr>
              <w:pStyle w:val="ListParagraph"/>
              <w:spacing w:after="0" w:line="240" w:lineRule="auto"/>
              <w:ind w:left="0"/>
              <w:jc w:val="center"/>
              <w:rPr>
                <w:rFonts w:ascii="Times New Roman" w:hAnsi="Times New Roman"/>
                <w:bCs/>
                <w:sz w:val="16"/>
                <w:szCs w:val="16"/>
              </w:rPr>
            </w:pPr>
            <w:r w:rsidRPr="00414499">
              <w:rPr>
                <w:rFonts w:ascii="Times New Roman" w:hAnsi="Times New Roman"/>
                <w:bCs/>
                <w:sz w:val="16"/>
                <w:szCs w:val="16"/>
              </w:rPr>
              <w:t>(0</w:t>
            </w:r>
            <w:r w:rsidR="00FE2C3D" w:rsidRPr="00414499">
              <w:rPr>
                <w:rFonts w:ascii="Times New Roman" w:hAnsi="Times New Roman"/>
                <w:bCs/>
                <w:sz w:val="16"/>
                <w:szCs w:val="16"/>
              </w:rPr>
              <w:t>.</w:t>
            </w:r>
            <w:r w:rsidRPr="00414499">
              <w:rPr>
                <w:rFonts w:ascii="Times New Roman" w:hAnsi="Times New Roman"/>
                <w:bCs/>
                <w:sz w:val="16"/>
                <w:szCs w:val="16"/>
              </w:rPr>
              <w:t>448-1</w:t>
            </w:r>
            <w:r w:rsidR="00FE2C3D" w:rsidRPr="00414499">
              <w:rPr>
                <w:rFonts w:ascii="Times New Roman" w:hAnsi="Times New Roman"/>
                <w:bCs/>
                <w:sz w:val="16"/>
                <w:szCs w:val="16"/>
              </w:rPr>
              <w:t>.</w:t>
            </w:r>
            <w:r w:rsidRPr="00414499">
              <w:rPr>
                <w:rFonts w:ascii="Times New Roman" w:hAnsi="Times New Roman"/>
                <w:bCs/>
                <w:sz w:val="16"/>
                <w:szCs w:val="16"/>
              </w:rPr>
              <w:t>119)</w:t>
            </w:r>
          </w:p>
        </w:tc>
        <w:tc>
          <w:tcPr>
            <w:tcW w:w="1135" w:type="dxa"/>
            <w:tcBorders>
              <w:top w:val="single" w:sz="4" w:space="0" w:color="auto"/>
              <w:left w:val="nil"/>
              <w:bottom w:val="single" w:sz="4" w:space="0" w:color="auto"/>
              <w:right w:val="nil"/>
            </w:tcBorders>
          </w:tcPr>
          <w:p w14:paraId="1AE6EA68" w14:textId="77777777" w:rsidR="00455747" w:rsidRPr="00414499" w:rsidRDefault="00455747" w:rsidP="00FC41C5">
            <w:pPr>
              <w:pStyle w:val="ListParagraph"/>
              <w:spacing w:after="0" w:line="240" w:lineRule="auto"/>
              <w:ind w:left="0"/>
              <w:rPr>
                <w:rFonts w:ascii="Times New Roman" w:hAnsi="Times New Roman"/>
                <w:bCs/>
                <w:sz w:val="16"/>
                <w:szCs w:val="16"/>
              </w:rPr>
            </w:pPr>
          </w:p>
          <w:p w14:paraId="27BB4D48" w14:textId="52EFDB13" w:rsidR="00455747" w:rsidRPr="00414499" w:rsidRDefault="00455747">
            <w:pPr>
              <w:pStyle w:val="ListParagraph"/>
              <w:spacing w:after="0" w:line="240" w:lineRule="auto"/>
              <w:ind w:left="0"/>
              <w:jc w:val="center"/>
              <w:rPr>
                <w:rFonts w:ascii="Times New Roman" w:hAnsi="Times New Roman"/>
                <w:bCs/>
                <w:sz w:val="16"/>
                <w:szCs w:val="16"/>
              </w:rPr>
            </w:pPr>
            <w:r w:rsidRPr="00414499">
              <w:rPr>
                <w:rFonts w:ascii="Times New Roman" w:hAnsi="Times New Roman"/>
                <w:bCs/>
                <w:sz w:val="16"/>
                <w:szCs w:val="16"/>
              </w:rPr>
              <w:t>&lt;0</w:t>
            </w:r>
            <w:r w:rsidR="00615544" w:rsidRPr="00414499">
              <w:rPr>
                <w:rFonts w:ascii="Times New Roman" w:hAnsi="Times New Roman"/>
                <w:bCs/>
                <w:sz w:val="16"/>
                <w:szCs w:val="16"/>
              </w:rPr>
              <w:t>.</w:t>
            </w:r>
            <w:r w:rsidRPr="00414499">
              <w:rPr>
                <w:rFonts w:ascii="Times New Roman" w:hAnsi="Times New Roman"/>
                <w:bCs/>
                <w:sz w:val="16"/>
                <w:szCs w:val="16"/>
              </w:rPr>
              <w:t>001</w:t>
            </w:r>
          </w:p>
          <w:p w14:paraId="57909128" w14:textId="77777777" w:rsidR="00455747" w:rsidRPr="00414499" w:rsidRDefault="00455747">
            <w:pPr>
              <w:pStyle w:val="ListParagraph"/>
              <w:spacing w:after="0" w:line="240" w:lineRule="auto"/>
              <w:ind w:left="0"/>
              <w:jc w:val="center"/>
              <w:rPr>
                <w:rFonts w:ascii="Times New Roman" w:hAnsi="Times New Roman"/>
                <w:bCs/>
                <w:sz w:val="16"/>
                <w:szCs w:val="16"/>
              </w:rPr>
            </w:pPr>
          </w:p>
          <w:p w14:paraId="601D88BE" w14:textId="77777777" w:rsidR="00455747" w:rsidRPr="00414499" w:rsidRDefault="00455747">
            <w:pPr>
              <w:pStyle w:val="ListParagraph"/>
              <w:spacing w:after="0" w:line="240" w:lineRule="auto"/>
              <w:ind w:left="0"/>
              <w:jc w:val="center"/>
              <w:rPr>
                <w:rFonts w:ascii="Times New Roman" w:hAnsi="Times New Roman"/>
                <w:bCs/>
                <w:sz w:val="16"/>
                <w:szCs w:val="16"/>
              </w:rPr>
            </w:pPr>
          </w:p>
          <w:p w14:paraId="6813B95D" w14:textId="77777777" w:rsidR="00455747" w:rsidRPr="00414499" w:rsidRDefault="00455747">
            <w:pPr>
              <w:pStyle w:val="ListParagraph"/>
              <w:spacing w:after="0" w:line="240" w:lineRule="auto"/>
              <w:ind w:left="0"/>
              <w:jc w:val="center"/>
              <w:rPr>
                <w:rFonts w:ascii="Times New Roman" w:hAnsi="Times New Roman"/>
                <w:bCs/>
                <w:sz w:val="16"/>
                <w:szCs w:val="16"/>
              </w:rPr>
            </w:pPr>
          </w:p>
          <w:p w14:paraId="57BB048B" w14:textId="77777777" w:rsidR="00455747" w:rsidRPr="00414499" w:rsidRDefault="00455747">
            <w:pPr>
              <w:pStyle w:val="ListParagraph"/>
              <w:spacing w:after="0" w:line="240" w:lineRule="auto"/>
              <w:ind w:left="0"/>
              <w:jc w:val="center"/>
              <w:rPr>
                <w:rFonts w:ascii="Times New Roman" w:hAnsi="Times New Roman"/>
                <w:bCs/>
                <w:sz w:val="16"/>
                <w:szCs w:val="16"/>
              </w:rPr>
            </w:pPr>
            <w:r w:rsidRPr="00414499">
              <w:rPr>
                <w:rFonts w:ascii="Times New Roman" w:hAnsi="Times New Roman"/>
                <w:bCs/>
                <w:sz w:val="16"/>
                <w:szCs w:val="16"/>
              </w:rPr>
              <w:t>&lt;0.001</w:t>
            </w:r>
          </w:p>
          <w:p w14:paraId="3CAA2795" w14:textId="77777777" w:rsidR="00455747" w:rsidRPr="00414499" w:rsidRDefault="00455747">
            <w:pPr>
              <w:pStyle w:val="ListParagraph"/>
              <w:spacing w:after="0" w:line="240" w:lineRule="auto"/>
              <w:ind w:left="0"/>
              <w:jc w:val="center"/>
              <w:rPr>
                <w:rFonts w:ascii="Times New Roman" w:hAnsi="Times New Roman"/>
                <w:bCs/>
                <w:sz w:val="16"/>
                <w:szCs w:val="16"/>
              </w:rPr>
            </w:pPr>
          </w:p>
          <w:p w14:paraId="062DF4BF" w14:textId="77777777" w:rsidR="00455747" w:rsidRPr="00414499" w:rsidRDefault="00455747" w:rsidP="00355F24">
            <w:pPr>
              <w:pStyle w:val="ListParagraph"/>
              <w:spacing w:after="0" w:line="240" w:lineRule="auto"/>
              <w:ind w:left="0"/>
              <w:rPr>
                <w:rFonts w:ascii="Times New Roman" w:hAnsi="Times New Roman"/>
                <w:bCs/>
                <w:sz w:val="16"/>
                <w:szCs w:val="16"/>
              </w:rPr>
            </w:pPr>
          </w:p>
          <w:p w14:paraId="2C13057A" w14:textId="77777777" w:rsidR="00455747" w:rsidRPr="00414499" w:rsidRDefault="00455747">
            <w:pPr>
              <w:pStyle w:val="ListParagraph"/>
              <w:spacing w:after="0" w:line="240" w:lineRule="auto"/>
              <w:ind w:left="0"/>
              <w:jc w:val="center"/>
              <w:rPr>
                <w:rFonts w:ascii="Times New Roman" w:hAnsi="Times New Roman"/>
                <w:bCs/>
                <w:sz w:val="16"/>
                <w:szCs w:val="16"/>
              </w:rPr>
            </w:pPr>
            <w:r w:rsidRPr="00414499">
              <w:rPr>
                <w:rFonts w:ascii="Times New Roman" w:hAnsi="Times New Roman"/>
                <w:bCs/>
                <w:sz w:val="16"/>
                <w:szCs w:val="16"/>
              </w:rPr>
              <w:t>0.172</w:t>
            </w:r>
          </w:p>
        </w:tc>
      </w:tr>
    </w:tbl>
    <w:p w14:paraId="555D6196" w14:textId="77777777" w:rsidR="00F252C7" w:rsidRDefault="00F252C7" w:rsidP="00F252C7">
      <w:pPr>
        <w:ind w:firstLine="567"/>
        <w:jc w:val="both"/>
      </w:pPr>
    </w:p>
    <w:p w14:paraId="798356D6" w14:textId="0482C37B" w:rsidR="006B67B2" w:rsidRDefault="00591820" w:rsidP="00001839">
      <w:pPr>
        <w:ind w:firstLine="709"/>
        <w:jc w:val="both"/>
      </w:pPr>
      <w:r w:rsidRPr="00591820">
        <w:t>Self-confidence is the most influential factor in providing information on reproductive health and sexuality to adolescents. Parents with low self-confidence have a tendency of 3,052 times not to provide comprehensive information on reproductive health and sexuality to adolescents (see Table 3).</w:t>
      </w:r>
      <w:r w:rsidR="00001839">
        <w:t xml:space="preserve"> </w:t>
      </w:r>
    </w:p>
    <w:p w14:paraId="452E3B4F" w14:textId="77777777" w:rsidR="006A1722" w:rsidRPr="00001839" w:rsidRDefault="006A1722" w:rsidP="00001839">
      <w:pPr>
        <w:ind w:firstLine="709"/>
        <w:jc w:val="both"/>
      </w:pPr>
    </w:p>
    <w:p w14:paraId="133A6443" w14:textId="354B2288" w:rsidR="00E679B3" w:rsidRPr="00414499" w:rsidRDefault="00A263DF" w:rsidP="00E679B3">
      <w:pPr>
        <w:jc w:val="center"/>
      </w:pPr>
      <w:r w:rsidRPr="00414499">
        <w:t>Table 3. Odds Ratio Factors Affecting Behavior of Giving Understanding of Reproductive Health and Sexuality (n=300)</w:t>
      </w:r>
    </w:p>
    <w:tbl>
      <w:tblPr>
        <w:tblW w:w="8654" w:type="dxa"/>
        <w:jc w:val="center"/>
        <w:tblBorders>
          <w:top w:val="single" w:sz="4" w:space="0" w:color="auto"/>
          <w:bottom w:val="single" w:sz="4" w:space="0" w:color="auto"/>
        </w:tblBorders>
        <w:tblLook w:val="04A0" w:firstRow="1" w:lastRow="0" w:firstColumn="1" w:lastColumn="0" w:noHBand="0" w:noVBand="1"/>
      </w:tblPr>
      <w:tblGrid>
        <w:gridCol w:w="4111"/>
        <w:gridCol w:w="2835"/>
        <w:gridCol w:w="1708"/>
      </w:tblGrid>
      <w:tr w:rsidR="00E679B3" w14:paraId="7B9EE32B" w14:textId="77777777" w:rsidTr="00E679B3">
        <w:trPr>
          <w:jc w:val="center"/>
        </w:trPr>
        <w:tc>
          <w:tcPr>
            <w:tcW w:w="4111" w:type="dxa"/>
            <w:tcBorders>
              <w:top w:val="single" w:sz="4" w:space="0" w:color="auto"/>
              <w:left w:val="nil"/>
              <w:bottom w:val="single" w:sz="4" w:space="0" w:color="auto"/>
              <w:right w:val="nil"/>
            </w:tcBorders>
            <w:hideMark/>
          </w:tcPr>
          <w:p w14:paraId="42251437" w14:textId="77777777" w:rsidR="00E679B3" w:rsidRPr="00414499" w:rsidRDefault="00E679B3">
            <w:pPr>
              <w:jc w:val="center"/>
              <w:rPr>
                <w:bCs/>
                <w:sz w:val="16"/>
                <w:szCs w:val="16"/>
              </w:rPr>
            </w:pPr>
            <w:r w:rsidRPr="00414499">
              <w:rPr>
                <w:bCs/>
                <w:sz w:val="16"/>
                <w:szCs w:val="16"/>
              </w:rPr>
              <w:t>Variable</w:t>
            </w:r>
          </w:p>
        </w:tc>
        <w:tc>
          <w:tcPr>
            <w:tcW w:w="2835" w:type="dxa"/>
            <w:tcBorders>
              <w:top w:val="single" w:sz="4" w:space="0" w:color="auto"/>
              <w:left w:val="nil"/>
              <w:bottom w:val="single" w:sz="4" w:space="0" w:color="auto"/>
              <w:right w:val="nil"/>
            </w:tcBorders>
            <w:hideMark/>
          </w:tcPr>
          <w:p w14:paraId="23854C76" w14:textId="77777777" w:rsidR="00E679B3" w:rsidRPr="00414499" w:rsidRDefault="00E679B3">
            <w:pPr>
              <w:jc w:val="center"/>
              <w:rPr>
                <w:bCs/>
                <w:sz w:val="16"/>
                <w:szCs w:val="16"/>
              </w:rPr>
            </w:pPr>
            <w:r w:rsidRPr="00414499">
              <w:rPr>
                <w:bCs/>
                <w:sz w:val="16"/>
                <w:szCs w:val="16"/>
              </w:rPr>
              <w:t>OR</w:t>
            </w:r>
            <w:r w:rsidRPr="00414499">
              <w:rPr>
                <w:bCs/>
                <w:sz w:val="16"/>
                <w:szCs w:val="16"/>
                <w:lang w:val="en-ID"/>
              </w:rPr>
              <w:t xml:space="preserve"> </w:t>
            </w:r>
            <w:r w:rsidRPr="00414499">
              <w:rPr>
                <w:bCs/>
                <w:sz w:val="16"/>
                <w:szCs w:val="16"/>
              </w:rPr>
              <w:t>95%CI</w:t>
            </w:r>
          </w:p>
        </w:tc>
        <w:tc>
          <w:tcPr>
            <w:tcW w:w="1708" w:type="dxa"/>
            <w:tcBorders>
              <w:top w:val="single" w:sz="4" w:space="0" w:color="auto"/>
              <w:left w:val="nil"/>
              <w:bottom w:val="single" w:sz="4" w:space="0" w:color="auto"/>
              <w:right w:val="nil"/>
            </w:tcBorders>
            <w:hideMark/>
          </w:tcPr>
          <w:p w14:paraId="4BD31379" w14:textId="77777777" w:rsidR="00E679B3" w:rsidRPr="00414499" w:rsidRDefault="00E679B3">
            <w:pPr>
              <w:jc w:val="center"/>
              <w:rPr>
                <w:bCs/>
                <w:sz w:val="16"/>
                <w:szCs w:val="16"/>
                <w:lang w:val="en-ID"/>
              </w:rPr>
            </w:pPr>
            <w:r w:rsidRPr="00414499">
              <w:rPr>
                <w:bCs/>
                <w:sz w:val="16"/>
                <w:szCs w:val="16"/>
                <w:lang w:val="en-ID"/>
              </w:rPr>
              <w:t>p-value</w:t>
            </w:r>
          </w:p>
        </w:tc>
      </w:tr>
      <w:tr w:rsidR="00E679B3" w14:paraId="785C6B47" w14:textId="77777777" w:rsidTr="00E679B3">
        <w:trPr>
          <w:jc w:val="center"/>
        </w:trPr>
        <w:tc>
          <w:tcPr>
            <w:tcW w:w="4111" w:type="dxa"/>
            <w:tcBorders>
              <w:top w:val="single" w:sz="4" w:space="0" w:color="auto"/>
              <w:left w:val="nil"/>
              <w:bottom w:val="nil"/>
              <w:right w:val="nil"/>
            </w:tcBorders>
            <w:hideMark/>
          </w:tcPr>
          <w:p w14:paraId="2A1BB4F5" w14:textId="7AA4DE8C" w:rsidR="00E679B3" w:rsidRPr="00E679B3" w:rsidRDefault="00A263DF">
            <w:pPr>
              <w:rPr>
                <w:bCs/>
                <w:sz w:val="16"/>
                <w:szCs w:val="16"/>
                <w:lang w:val="en-ID"/>
              </w:rPr>
            </w:pPr>
            <w:r w:rsidRPr="00A263DF">
              <w:rPr>
                <w:bCs/>
                <w:sz w:val="16"/>
                <w:szCs w:val="16"/>
                <w:lang w:val="en-ID"/>
              </w:rPr>
              <w:t>Parental Confidence</w:t>
            </w:r>
          </w:p>
        </w:tc>
        <w:tc>
          <w:tcPr>
            <w:tcW w:w="2835" w:type="dxa"/>
            <w:tcBorders>
              <w:top w:val="single" w:sz="4" w:space="0" w:color="auto"/>
              <w:left w:val="nil"/>
              <w:bottom w:val="nil"/>
              <w:right w:val="nil"/>
            </w:tcBorders>
            <w:hideMark/>
          </w:tcPr>
          <w:p w14:paraId="03F9DA3F" w14:textId="79CAAB14" w:rsidR="00E679B3" w:rsidRPr="00E679B3" w:rsidRDefault="00211768">
            <w:pPr>
              <w:jc w:val="center"/>
              <w:rPr>
                <w:bCs/>
                <w:sz w:val="16"/>
                <w:szCs w:val="16"/>
                <w:lang w:val="en-ID"/>
              </w:rPr>
            </w:pPr>
            <w:r>
              <w:rPr>
                <w:bCs/>
                <w:sz w:val="16"/>
                <w:szCs w:val="16"/>
                <w:lang w:val="en-ID"/>
              </w:rPr>
              <w:t>3.052</w:t>
            </w:r>
            <w:r w:rsidR="00E679B3" w:rsidRPr="00E679B3">
              <w:rPr>
                <w:bCs/>
                <w:sz w:val="16"/>
                <w:szCs w:val="16"/>
                <w:lang w:val="en-ID"/>
              </w:rPr>
              <w:t xml:space="preserve"> (</w:t>
            </w:r>
            <w:r>
              <w:rPr>
                <w:bCs/>
                <w:sz w:val="16"/>
                <w:szCs w:val="16"/>
                <w:lang w:val="en-ID"/>
              </w:rPr>
              <w:t>1.534-6.071</w:t>
            </w:r>
            <w:r w:rsidR="00E679B3" w:rsidRPr="00E679B3">
              <w:rPr>
                <w:bCs/>
                <w:sz w:val="16"/>
                <w:szCs w:val="16"/>
                <w:lang w:val="en-ID"/>
              </w:rPr>
              <w:t>)</w:t>
            </w:r>
          </w:p>
        </w:tc>
        <w:tc>
          <w:tcPr>
            <w:tcW w:w="1708" w:type="dxa"/>
            <w:tcBorders>
              <w:top w:val="single" w:sz="4" w:space="0" w:color="auto"/>
              <w:left w:val="nil"/>
              <w:bottom w:val="nil"/>
              <w:right w:val="nil"/>
            </w:tcBorders>
            <w:hideMark/>
          </w:tcPr>
          <w:p w14:paraId="2336620E" w14:textId="692CAA6D" w:rsidR="00E679B3" w:rsidRPr="00E679B3" w:rsidRDefault="00E679B3">
            <w:pPr>
              <w:jc w:val="center"/>
              <w:rPr>
                <w:bCs/>
                <w:sz w:val="16"/>
                <w:szCs w:val="16"/>
                <w:lang w:val="en-ID"/>
              </w:rPr>
            </w:pPr>
            <w:r w:rsidRPr="00E679B3">
              <w:rPr>
                <w:bCs/>
                <w:sz w:val="16"/>
                <w:szCs w:val="16"/>
                <w:lang w:val="en-ID"/>
              </w:rPr>
              <w:t>0</w:t>
            </w:r>
            <w:r w:rsidR="00B752D8">
              <w:rPr>
                <w:bCs/>
                <w:sz w:val="16"/>
                <w:szCs w:val="16"/>
                <w:lang w:val="en-ID"/>
              </w:rPr>
              <w:t>.001</w:t>
            </w:r>
          </w:p>
        </w:tc>
      </w:tr>
      <w:tr w:rsidR="00E679B3" w14:paraId="0FE20356" w14:textId="77777777" w:rsidTr="00E679B3">
        <w:trPr>
          <w:jc w:val="center"/>
        </w:trPr>
        <w:tc>
          <w:tcPr>
            <w:tcW w:w="4111" w:type="dxa"/>
            <w:tcBorders>
              <w:top w:val="nil"/>
              <w:left w:val="nil"/>
              <w:bottom w:val="single" w:sz="4" w:space="0" w:color="auto"/>
              <w:right w:val="nil"/>
            </w:tcBorders>
            <w:hideMark/>
          </w:tcPr>
          <w:p w14:paraId="7D867C85" w14:textId="12497EA4" w:rsidR="00E679B3" w:rsidRPr="00E679B3" w:rsidRDefault="00A263DF">
            <w:pPr>
              <w:rPr>
                <w:bCs/>
                <w:sz w:val="16"/>
                <w:szCs w:val="16"/>
                <w:lang w:val="en-ID"/>
              </w:rPr>
            </w:pPr>
            <w:r w:rsidRPr="00A263DF">
              <w:rPr>
                <w:bCs/>
                <w:sz w:val="16"/>
                <w:szCs w:val="16"/>
                <w:lang w:val="en-ID"/>
              </w:rPr>
              <w:t>Couple Support</w:t>
            </w:r>
          </w:p>
        </w:tc>
        <w:tc>
          <w:tcPr>
            <w:tcW w:w="2835" w:type="dxa"/>
            <w:tcBorders>
              <w:top w:val="nil"/>
              <w:left w:val="nil"/>
              <w:bottom w:val="single" w:sz="4" w:space="0" w:color="auto"/>
              <w:right w:val="nil"/>
            </w:tcBorders>
            <w:hideMark/>
          </w:tcPr>
          <w:p w14:paraId="2B64060F" w14:textId="43821D41" w:rsidR="00E679B3" w:rsidRPr="00E679B3" w:rsidRDefault="00211768">
            <w:pPr>
              <w:jc w:val="center"/>
              <w:rPr>
                <w:bCs/>
                <w:sz w:val="16"/>
                <w:szCs w:val="16"/>
                <w:lang w:val="en-ID"/>
              </w:rPr>
            </w:pPr>
            <w:r>
              <w:rPr>
                <w:bCs/>
                <w:sz w:val="16"/>
                <w:szCs w:val="16"/>
                <w:lang w:val="en-ID"/>
              </w:rPr>
              <w:t>2.330</w:t>
            </w:r>
            <w:r w:rsidR="00E679B3" w:rsidRPr="00E679B3">
              <w:rPr>
                <w:bCs/>
                <w:sz w:val="16"/>
                <w:szCs w:val="16"/>
                <w:lang w:val="en-ID"/>
              </w:rPr>
              <w:t xml:space="preserve"> (</w:t>
            </w:r>
            <w:r>
              <w:rPr>
                <w:bCs/>
                <w:sz w:val="16"/>
                <w:szCs w:val="16"/>
                <w:lang w:val="en-ID"/>
              </w:rPr>
              <w:t>1.252-4.335</w:t>
            </w:r>
            <w:r w:rsidR="00E679B3" w:rsidRPr="00E679B3">
              <w:rPr>
                <w:bCs/>
                <w:sz w:val="16"/>
                <w:szCs w:val="16"/>
                <w:lang w:val="en-ID"/>
              </w:rPr>
              <w:t>)</w:t>
            </w:r>
          </w:p>
        </w:tc>
        <w:tc>
          <w:tcPr>
            <w:tcW w:w="1708" w:type="dxa"/>
            <w:tcBorders>
              <w:top w:val="nil"/>
              <w:left w:val="nil"/>
              <w:bottom w:val="single" w:sz="4" w:space="0" w:color="auto"/>
              <w:right w:val="nil"/>
            </w:tcBorders>
            <w:hideMark/>
          </w:tcPr>
          <w:p w14:paraId="37493E26" w14:textId="0D7B3067" w:rsidR="00E679B3" w:rsidRPr="00E679B3" w:rsidRDefault="00E679B3">
            <w:pPr>
              <w:jc w:val="center"/>
              <w:rPr>
                <w:bCs/>
                <w:sz w:val="16"/>
                <w:szCs w:val="16"/>
                <w:lang w:val="en-ID"/>
              </w:rPr>
            </w:pPr>
            <w:r w:rsidRPr="00E679B3">
              <w:rPr>
                <w:bCs/>
                <w:sz w:val="16"/>
                <w:szCs w:val="16"/>
                <w:lang w:val="en-ID"/>
              </w:rPr>
              <w:t>0</w:t>
            </w:r>
            <w:r w:rsidR="00B752D8">
              <w:rPr>
                <w:bCs/>
                <w:sz w:val="16"/>
                <w:szCs w:val="16"/>
                <w:lang w:val="en-ID"/>
              </w:rPr>
              <w:t>.008</w:t>
            </w:r>
          </w:p>
        </w:tc>
      </w:tr>
    </w:tbl>
    <w:p w14:paraId="6CA6B150" w14:textId="77777777" w:rsidR="00E679B3" w:rsidRDefault="00E679B3" w:rsidP="00E679B3">
      <w:pPr>
        <w:rPr>
          <w:rFonts w:ascii="Calibri" w:hAnsi="Calibri"/>
          <w:sz w:val="22"/>
          <w:szCs w:val="22"/>
          <w:lang w:val="id-ID" w:eastAsia="id-ID"/>
        </w:rPr>
      </w:pPr>
    </w:p>
    <w:p w14:paraId="51B246C5" w14:textId="77777777" w:rsidR="00E679B3" w:rsidRDefault="00E679B3" w:rsidP="00F252C7">
      <w:pPr>
        <w:ind w:firstLine="567"/>
        <w:jc w:val="both"/>
      </w:pPr>
    </w:p>
    <w:p w14:paraId="0B43FC55" w14:textId="1B48364E" w:rsidR="00F252C7" w:rsidRDefault="00591820" w:rsidP="00F252C7">
      <w:pPr>
        <w:ind w:firstLine="567"/>
        <w:jc w:val="both"/>
        <w:rPr>
          <w:bCs/>
        </w:rPr>
      </w:pPr>
      <w:r w:rsidRPr="00591820">
        <w:rPr>
          <w:bCs/>
        </w:rPr>
        <w:t xml:space="preserve">A person's self-confidence is usually influenced by various things such as a person's perception of the importance of a behavior, and the usefulness of that behavior </w:t>
      </w:r>
      <w:r w:rsidR="00F252C7">
        <w:rPr>
          <w:bCs/>
        </w:rPr>
        <w:fldChar w:fldCharType="begin" w:fldLock="1"/>
      </w:r>
      <w:r w:rsidR="00542D39">
        <w:rPr>
          <w:bCs/>
        </w:rPr>
        <w:instrText>ADDIN CSL_CITATION {"citationItems":[{"id":"ITEM-1","itemData":{"DOI":"10.1007/s10683-017-9526-3","ISSN":"13864157","abstract":"We suggest that overconfidence (conscious or unconscious) is motivated in part by strategic considerations, and test this experimentally. We find compelling supporting evidence in the behavior of participants who send and respond to others’ statements of confidence about how well they have scored on an IQ test. In two-player tournaments where the higher score wins, a player is very likely to choose to compete when he knows that his own stated confidence is higher than the other player’s, but rarely when the reverse is true. Consistent with this behavior, stated confidence is inflated by males when deterrence is strategically optimal and is instead deflated (by males and females) when luring (encouraging entry) is strategically optimal. This behavior is consistent with the equilibrium of the corresponding signaling game. Overconfident statements are used in environments that seem familiar, and we present evidence that suggests that this can occur on an unconscious level.","author":[{"dropping-particle":"","family":"Charness","given":"Gary","non-dropping-particle":"","parse-names":false,"suffix":""},{"dropping-particle":"","family":"Rustichini","given":"Aldo","non-dropping-particle":"","parse-names":false,"suffix":""},{"dropping-particle":"","family":"Ven","given":"Jeroen","non-dropping-particle":"van de","parse-names":false,"suffix":""}],"container-title":"Experimental Economics","id":"ITEM-1","issue":"1","issued":{"date-parts":[["2018"]]},"page":"72-98","publisher":"Springer US","title":"Self-confidence and strategic behavior","type":"article-journal","volume":"21"},"uris":["http://www.mendeley.com/documents/?uuid=9b00d081-2054-438e-b684-aacd09ad8803"]}],"mendeley":{"formattedCitation":"[21]","plainTextFormattedCitation":"[21]","previouslyFormattedCitation":"[19]"},"properties":{"noteIndex":0},"schema":"https://github.com/citation-style-language/schema/raw/master/csl-citation.json"}</w:instrText>
      </w:r>
      <w:r w:rsidR="00F252C7">
        <w:rPr>
          <w:bCs/>
        </w:rPr>
        <w:fldChar w:fldCharType="separate"/>
      </w:r>
      <w:r w:rsidR="00542D39" w:rsidRPr="00542D39">
        <w:rPr>
          <w:bCs/>
          <w:noProof/>
        </w:rPr>
        <w:t>[21]</w:t>
      </w:r>
      <w:r w:rsidR="00F252C7">
        <w:rPr>
          <w:bCs/>
        </w:rPr>
        <w:fldChar w:fldCharType="end"/>
      </w:r>
      <w:r w:rsidR="00F252C7">
        <w:rPr>
          <w:bCs/>
        </w:rPr>
        <w:t xml:space="preserve">. </w:t>
      </w:r>
      <w:r w:rsidRPr="00591820">
        <w:rPr>
          <w:bCs/>
        </w:rPr>
        <w:t xml:space="preserve">In the aspect of providing reproductive health information to adolescents, parental confidence can be affected by limited parental access to reproductive health. Lack of access to this information can make parents still have a negative attitude towards reproductive health education for adolescents </w:t>
      </w:r>
      <w:r w:rsidR="00F252C7">
        <w:rPr>
          <w:bCs/>
        </w:rPr>
        <w:fldChar w:fldCharType="begin" w:fldLock="1"/>
      </w:r>
      <w:r w:rsidR="00542D39">
        <w:rPr>
          <w:bCs/>
        </w:rPr>
        <w:instrText>ADDIN CSL_CITATION {"citationItems":[{"id":"ITEM-1","itemData":{"DOI":"10.26717/bjstr.2017.01.000591","abstract":"Background: Adolescence is a period of high developmental changes in physical, mental and social conditions. In this period the adolescent youth fails to control their emotions, listen to parents’ advice and begins to indulge them in unhealthy behavioral activities. In general, the age group from 10 to 19 years is classified as adolescent. Many adolescents often lack strong and stable relationships with their parents to openly discuss about reproductive health concerns. Similarly, about 55.7% of the secondary and preparatory school students were not discussed on SRH issues. Objective: To assess the barriers of discussion among adolescents concerning sexual and reproductive health issues among Preparatory Schools students of Hawassa City, SNNPR, Ethiopia. Methods: - Descriptive cross sectional survey design was conducted among Addis Ketema and Tabor preparatory schools students in Hawassa City, from December to June 2016. Then a multistage sampling technique was employed to select 344 eligible study participants, the data were collected by using closed ended questionnaire and analyzed. Result: - The majority (61%) of respondents did not discused sexual matters with their parents. The results of binary logistic regression revealed that, the adolescents who follow social media (B=1.497, p&lt; 0.05), use condom (B=2.296, p&lt; 0.05), father education (B=2.398, p&lt; 0.05) and mother education (B=1.582, p&lt; 0.05) have positive and significant effect on discussion between the parents and adolescents on SRH issues. Culture of adolescents and parents regarding sex related issues whereas, ever had experienced sexual pleasure (B=-1.466, p&lt; 0.01), amount of money the adolescent got monthly (B= -2.127, p&lt; 0.01), talk to friend about sex related issues(B=-2.361, p&lt; 0.01), and feel shame to talk to family about sex related issues (B=-0.868, p&lt; 0.05) have negative and significant effect on discussion between the adolescents and parents regarding sex related issues. Conclusion: The major factors that hindered parent-adolescent discussion were ever had experienced sexual pleasure, follow social media, use condom, parent education, amount of money given to adolescents, talk to friends about sex related issue, and feel shame. Furthermore, parents had limited access to sexuality information which could perpetuate beliefs, taboos and negative attitudes that hindered them from discussing sexual matters with adolescents. Keywords: Adolescent; Barriers; Discussion Introduction","author":[{"dropping-particle":"","family":"Busi","given":"Sailaja","non-dropping-particle":"","parse-names":false,"suffix":""},{"dropping-particle":"","family":"Chea","given":"Nana","non-dropping-particle":"","parse-names":false,"suffix":""}],"container-title":"Biomedical Journal of Scientific &amp; Technical Research","id":"ITEM-1","issue":"7","issued":{"date-parts":[["2017"]]},"page":"1947-1953","title":"Barriers of Discussion Concerning Sexual and Reproductive Health Issues Among Adolescents and Parents, Hawassa, SNNPR, Ethiopia","type":"article-journal","volume":"1"},"uris":["http://www.mendeley.com/documents/?uuid=ddc9c5d3-f06e-42bc-bbc3-dddc25f27934"]}],"mendeley":{"formattedCitation":"[22]","plainTextFormattedCitation":"[22]","previouslyFormattedCitation":"[20]"},"properties":{"noteIndex":0},"schema":"https://github.com/citation-style-language/schema/raw/master/csl-citation.json"}</w:instrText>
      </w:r>
      <w:r w:rsidR="00F252C7">
        <w:rPr>
          <w:bCs/>
        </w:rPr>
        <w:fldChar w:fldCharType="separate"/>
      </w:r>
      <w:r w:rsidR="00542D39" w:rsidRPr="00542D39">
        <w:rPr>
          <w:bCs/>
          <w:noProof/>
        </w:rPr>
        <w:t>[22]</w:t>
      </w:r>
      <w:r w:rsidR="00F252C7">
        <w:rPr>
          <w:bCs/>
        </w:rPr>
        <w:fldChar w:fldCharType="end"/>
      </w:r>
      <w:r w:rsidR="00F252C7">
        <w:rPr>
          <w:bCs/>
        </w:rPr>
        <w:t xml:space="preserve">. </w:t>
      </w:r>
      <w:r w:rsidRPr="00591820">
        <w:rPr>
          <w:bCs/>
        </w:rPr>
        <w:t>Parents' lack of access to information on reproductive health issues can also affect parents' knowledge about reproductive health. This limited knowledge will also be able to prevent someone from discussing reproductive health issues with adolescents</w:t>
      </w:r>
      <w:r w:rsidR="00F252C7">
        <w:rPr>
          <w:bCs/>
        </w:rPr>
        <w:t xml:space="preserve"> </w:t>
      </w:r>
      <w:r w:rsidR="00F252C7">
        <w:rPr>
          <w:bCs/>
        </w:rPr>
        <w:fldChar w:fldCharType="begin" w:fldLock="1"/>
      </w:r>
      <w:r w:rsidR="00542D39">
        <w:rPr>
          <w:bCs/>
        </w:rPr>
        <w:instrText>ADDIN CSL_CITATION {"citationItems":[{"id":"ITEM-1","itemData":{"DOI":"10.1016/j.heliyon.2021.e06528","ISSN":"24058440","abstract":"Background: World Health Organization states adolescents as persons whose age is between 10–19 years. In Ethiopia, sexual and reproductive health problems of adolescents are high. Parent-adolescent communication regarding sexual and reproductive health issues is important to reduce adolescent risky sexual behaviors. Objective: The goal of the study was to assess adolescent communication on sexual and reproductive health issues with parents and associated factors among secondary school students in Woreta town. Method: Institutional based cross sectional study was conducted among 360 students from March 25–29/2019. Simple random sampling technique was applied to select study participants. Data was collected by self-administered questionnaire. Data was entered into Epinfo7 and analyzed using SPSS version 23. Descriptive statistics, bivariable and multivariable logistic regression analysis were applied. Odds ratios, 95% confidence intervals and P values were calculated. Variables having P-value &lt; 0.05 in the multivariable logistic regression analysis were considered as determinant factors for adolescent-parent communication on sexual and reproductive health issues. Result: A total of 360 school adolescents were involved in the study making 100% response rate. One hundred ten (30.6%) of the students had communication with parents on at least 60% of topics of sexual and reproductive health issues. Being Grade 9 (AOR = 2.3; 95% CI: 1.1–4.4) and grade 10 students (AOR = 2.2; 95% CI: 1.1–4.5), students who were knowledgeable on SRH issues (AOR = 3.6; 95% CI: 1.9–6.5) and students who accepted the benefit of communicating SRH issues with parents (AOR = 5.2, 95% CI: 1.9–13.7) were more likely to communicate on SRH issues. Conclusion: and Recommendation: Adolescent-parent communication on SRH issues was found to be low. The sexual and reproductive health knowledge of adolescents could be enhanced through participating them in different health clubs in school and outside school.","author":[{"dropping-particle":"","family":"Wudineh","given":"Kihinetu Gelaye","non-dropping-particle":"","parse-names":false,"suffix":""},{"dropping-particle":"","family":"Chekole","given":"Fentahun Alemnew","non-dropping-particle":"","parse-names":false,"suffix":""},{"dropping-particle":"","family":"Tesfu","given":"Azimeraw Arega","non-dropping-particle":"","parse-names":false,"suffix":""}],"container-title":"Heliyon","id":"ITEM-1","issue":"3","issued":{"date-parts":[["2021"]]},"page":"e06528","publisher":"Elsevier Ltd","title":"Adolescent-parent communication on sexual and reproductive health issues and associated factors among secondary school students in Woreta town, Northwest Ethiopia: An institutional based cross sectional study","type":"article-journal","volume":"7"},"uris":["http://www.mendeley.com/documents/?uuid=c0c6bc6b-c2ac-49ac-9858-51a28b3add7a"]}],"mendeley":{"formattedCitation":"[23]","plainTextFormattedCitation":"[23]","previouslyFormattedCitation":"[21]"},"properties":{"noteIndex":0},"schema":"https://github.com/citation-style-language/schema/raw/master/csl-citation.json"}</w:instrText>
      </w:r>
      <w:r w:rsidR="00F252C7">
        <w:rPr>
          <w:bCs/>
        </w:rPr>
        <w:fldChar w:fldCharType="separate"/>
      </w:r>
      <w:r w:rsidR="00542D39" w:rsidRPr="00542D39">
        <w:rPr>
          <w:bCs/>
          <w:noProof/>
        </w:rPr>
        <w:t>[23]</w:t>
      </w:r>
      <w:r w:rsidR="00F252C7">
        <w:rPr>
          <w:bCs/>
        </w:rPr>
        <w:fldChar w:fldCharType="end"/>
      </w:r>
      <w:r w:rsidR="00F252C7">
        <w:rPr>
          <w:bCs/>
        </w:rPr>
        <w:t>.</w:t>
      </w:r>
    </w:p>
    <w:p w14:paraId="4A33EE45" w14:textId="409D5317" w:rsidR="00F252C7" w:rsidRDefault="00591820" w:rsidP="00F252C7">
      <w:pPr>
        <w:ind w:firstLine="567"/>
        <w:jc w:val="both"/>
        <w:rPr>
          <w:bCs/>
        </w:rPr>
      </w:pPr>
      <w:r w:rsidRPr="00591820">
        <w:rPr>
          <w:bCs/>
        </w:rPr>
        <w:t xml:space="preserve">In this study, there were parents who had high self-confidence in several aspects. Parents believe that they can help their teenage children to solve problems regarding reproductive health and sexuality, as many as 286 parents (95.3%). Parents also have high confidence to be able to explain reproductive health information using language that is appropriate for the child's age, as many as 285 parents (95%) and language that is easily understood by children as many as 280 parents (93.3%). The right language or word choice in providing reproductive health information to adolescents is an important thing that can help in communicating it to adolescents. Parents are expected to talk about sexuality issues in appropriate language and in a situation that is not rigid or non-judgmental </w:t>
      </w:r>
      <w:r w:rsidR="00F252C7">
        <w:rPr>
          <w:bCs/>
        </w:rPr>
        <w:fldChar w:fldCharType="begin" w:fldLock="1"/>
      </w:r>
      <w:r w:rsidR="00542D39">
        <w:rPr>
          <w:bCs/>
        </w:rPr>
        <w:instrText>ADDIN CSL_CITATION {"citationItems":[{"id":"ITEM-1","itemData":{"DOI":"10.1016/j.pcl.2016.11.002","ISSN":"15578240","PMID":"28292447","abstract":"This article is intended as a resource for pediatric providers to help them guide parents in increasing the quantity and quality of their communication about sexuality. The article provides an overview of the best practices associated with parent-adolescent communication about major topics related to sexuality (eg, masturbation, contraception, romantic relationships). In additionally, the article includes concrete suggestions for parents to improve their communication with teens as well as resources for further guidance.","author":[{"dropping-particle":"","family":"Ashcraft","given":"Amie M.","non-dropping-particle":"","parse-names":false,"suffix":""},{"dropping-particle":"","family":"Murray","given":"Pamela J.","non-dropping-particle":"","parse-names":false,"suffix":""}],"container-title":"Pediatric Clinics of North America","id":"ITEM-1","issue":"2","issued":{"date-parts":[["2017"]]},"page":"305-320","title":"Talking to Parents About Adolescent Sexuality","type":"article-journal","volume":"64"},"uris":["http://www.mendeley.com/documents/?uuid=b888c163-1395-408a-80a6-40381a06716d"]}],"mendeley":{"formattedCitation":"[24]","plainTextFormattedCitation":"[24]","previouslyFormattedCitation":"[22]"},"properties":{"noteIndex":0},"schema":"https://github.com/citation-style-language/schema/raw/master/csl-citation.json"}</w:instrText>
      </w:r>
      <w:r w:rsidR="00F252C7">
        <w:rPr>
          <w:bCs/>
        </w:rPr>
        <w:fldChar w:fldCharType="separate"/>
      </w:r>
      <w:r w:rsidR="00542D39" w:rsidRPr="00542D39">
        <w:rPr>
          <w:bCs/>
          <w:noProof/>
        </w:rPr>
        <w:t>[24]</w:t>
      </w:r>
      <w:r w:rsidR="00F252C7">
        <w:rPr>
          <w:bCs/>
        </w:rPr>
        <w:fldChar w:fldCharType="end"/>
      </w:r>
      <w:r w:rsidR="00F252C7">
        <w:rPr>
          <w:bCs/>
        </w:rPr>
        <w:t xml:space="preserve">. </w:t>
      </w:r>
      <w:r w:rsidRPr="00591820">
        <w:rPr>
          <w:bCs/>
        </w:rPr>
        <w:t xml:space="preserve">Parents also feel that high self-confidence is supported by a high sense of empathy so that they are able to provide reproductive health education as many as 280 parents (93.3%). This empathy is indeed a tip in providing reproductive health information to adolescents. Parents should observe what teenagers feel, see, hear, and experience. Parents should also provide space for teenagers to tell what things are experienced and felt so that teenagers feel that their parents are open and provide opportunities for teenagers to share stories about all things such as reproductive health. </w:t>
      </w:r>
      <w:r w:rsidR="00F252C7">
        <w:rPr>
          <w:bCs/>
        </w:rPr>
        <w:fldChar w:fldCharType="begin" w:fldLock="1"/>
      </w:r>
      <w:r w:rsidR="00542D39">
        <w:rPr>
          <w:bCs/>
        </w:rPr>
        <w:instrText>ADDIN CSL_CITATION {"citationItems":[{"id":"ITEM-1","itemData":{"DOI":"10.1016/j.pcl.2016.11.002","ISSN":"15578240","PMID":"28292447","abstract":"This article is intended as a resource for pediatric providers to help them guide parents in increasing the quantity and quality of their communication about sexuality. The article provides an overview of the best practices associated with parent-adolescent communication about major topics related to sexuality (eg, masturbation, contraception, romantic relationships). In additionally, the article includes concrete suggestions for parents to improve their communication with teens as well as resources for further guidance.","author":[{"dropping-particle":"","family":"Ashcraft","given":"Amie M.","non-dropping-particle":"","parse-names":false,"suffix":""},{"dropping-particle":"","family":"Murray","given":"Pamela J.","non-dropping-particle":"","parse-names":false,"suffix":""}],"container-title":"Pediatric Clinics of North America","id":"ITEM-1","issue":"2","issued":{"date-parts":[["2017"]]},"page":"305-320","title":"Talking to Parents About Adolescent Sexuality","type":"article-journal","volume":"64"},"uris":["http://www.mendeley.com/documents/?uuid=b888c163-1395-408a-80a6-40381a06716d"]}],"mendeley":{"formattedCitation":"[24]","plainTextFormattedCitation":"[24]","previouslyFormattedCitation":"[22]"},"properties":{"noteIndex":0},"schema":"https://github.com/citation-style-language/schema/raw/master/csl-citation.json"}</w:instrText>
      </w:r>
      <w:r w:rsidR="00F252C7">
        <w:rPr>
          <w:bCs/>
        </w:rPr>
        <w:fldChar w:fldCharType="separate"/>
      </w:r>
      <w:r w:rsidR="00542D39" w:rsidRPr="00542D39">
        <w:rPr>
          <w:bCs/>
          <w:noProof/>
        </w:rPr>
        <w:t>[24]</w:t>
      </w:r>
      <w:r w:rsidR="00F252C7">
        <w:rPr>
          <w:bCs/>
        </w:rPr>
        <w:fldChar w:fldCharType="end"/>
      </w:r>
      <w:r w:rsidR="00F252C7">
        <w:rPr>
          <w:bCs/>
        </w:rPr>
        <w:t xml:space="preserve">. </w:t>
      </w:r>
      <w:r w:rsidRPr="00591820">
        <w:rPr>
          <w:bCs/>
        </w:rPr>
        <w:t xml:space="preserve">The openness of parents regarding reproductive health issues will affect the youth's desire to discuss sexuality and reproductive health with their parents </w:t>
      </w:r>
      <w:r w:rsidR="00F252C7">
        <w:rPr>
          <w:bCs/>
        </w:rPr>
        <w:fldChar w:fldCharType="begin" w:fldLock="1"/>
      </w:r>
      <w:r w:rsidR="00542D39">
        <w:rPr>
          <w:bCs/>
        </w:rPr>
        <w:instrText>ADDIN CSL_CITATION {"citationItems":[{"id":"ITEM-1","itemData":{"DOI":"10.1186/s13052-020-00921-5","ISSN":"18247288","PMID":"33126919","abstract":"Background: Every year, 1.3 million young people reported to die from preventable causes of death. Parent-adolescent communication on sexuality is critical in informing youth about risk and protective behaviors which in turn decrease the likelihood of involvement in risky sexual behaviors. This systematic review and meta-analysis was intended to assess the prevalence of parent-adolescent communication on sexual and reproductive health (SRH) issues and its associated factors in Ethiopia. Methods: PubMed, EMBASE, HINARI, Google Scholar, and University repositories were used to search studies. Article search was conducted from May 20 to June 9, 2020. Critical appraisal of studies was conducted using Newcastle-Ottawa Quality Assessment Scale (NOS). Data analysis was conducted using Stata 11 software following the abstraction of data using a format prepared on Microsoft excel. The heterogeneity of studies was tested using Cochran (Q test) and I2 test statistics. Similarly, funnel plot and Egger’s regression asymmetry were used to assess publication bias. Subgroup analysis was conducted based on study Regions and sample size. Result: Fourteen studies with sample of 8018 adolescents were included in this systematic review and meta-analysis. The pooled prevalence of parent-adolescent communication on SRH issues in Ethiopia was found to be 45.18% (95%, CI, 32.23, 58.13%). Adolescents’ knowledge of reproductive health matters (OR = 2.91, 95% CI:1.21, 7.01), believe on importance of discussion on SRH issues (OR = 4.18, 95% CI: 2.63, 6.65), had history of sexual exposure (OR = 1.95, 95% CI: 1.53, 2.50), parents openness to discuss SRH issues (OR = 3.39, 95% CI: (2.48, 4.62), and being female (OR = 1.60, 95% CI:1.07, 2.38) were the positive predictors of parent-adolescent communications on SRH issues. Conclusion: The prevalence of parent-adolescent communication on SRH issues was found to be low. Knowledge of adolescents about reproductive health matters, believe on the importance of discussion on reproductive health issues, history of sexual exposure, parents’ openness to discuss SRH issues, and being female were found to be the positive predictors of parent-adolescent communication on SRH issues in Ethiopia. The finding our study indicated that evidence based education about reproductive health matters could significant to improve adolescent parent communication on SRH issues.","author":[{"dropping-particle":"","family":"Mekie","given":"Maru","non-dropping-particle":"","parse-names":false,"suffix":""},{"dropping-particle":"","family":"Addisu","given":"Dagne","non-dropping-particle":"","parse-names":false,"suffix":""},{"dropping-particle":"","family":"Melkie","given":"Abenezer","non-dropping-particle":"","parse-names":false,"suffix":""},{"dropping-particle":"","family":"Taklual","given":"Wubet","non-dropping-particle":"","parse-names":false,"suffix":""}],"container-title":"Italian Journal of Pediatrics","id":"ITEM-1","issue":"1","issued":{"date-parts":[["2020"]]},"page":"1-13","publisher":"Italian Journal of Pediatrics","title":"Parent-adolescent communication on sexual and reproductive health issues and its associated factors in Ethiopia: a systematic review and meta-analysis","type":"article-journal","volume":"46"},"uris":["http://www.mendeley.com/documents/?uuid=6213f3eb-d4f0-476f-99ca-1fd99b5641c6"]}],"mendeley":{"formattedCitation":"[25]","plainTextFormattedCitation":"[25]","previouslyFormattedCitation":"[23]"},"properties":{"noteIndex":0},"schema":"https://github.com/citation-style-language/schema/raw/master/csl-citation.json"}</w:instrText>
      </w:r>
      <w:r w:rsidR="00F252C7">
        <w:rPr>
          <w:bCs/>
        </w:rPr>
        <w:fldChar w:fldCharType="separate"/>
      </w:r>
      <w:r w:rsidR="00542D39" w:rsidRPr="00542D39">
        <w:rPr>
          <w:bCs/>
          <w:noProof/>
        </w:rPr>
        <w:t>[25]</w:t>
      </w:r>
      <w:r w:rsidR="00F252C7">
        <w:rPr>
          <w:bCs/>
        </w:rPr>
        <w:fldChar w:fldCharType="end"/>
      </w:r>
      <w:r w:rsidR="00F252C7">
        <w:rPr>
          <w:bCs/>
        </w:rPr>
        <w:t xml:space="preserve">. </w:t>
      </w:r>
    </w:p>
    <w:p w14:paraId="4548990B" w14:textId="1BFA182F" w:rsidR="00F252C7" w:rsidRDefault="00591820" w:rsidP="00F252C7">
      <w:pPr>
        <w:ind w:firstLine="567"/>
        <w:jc w:val="both"/>
        <w:rPr>
          <w:bCs/>
        </w:rPr>
      </w:pPr>
      <w:r w:rsidRPr="00591820">
        <w:rPr>
          <w:bCs/>
        </w:rPr>
        <w:t>However, there are also parents who have low self-confidence, including 31 parents (10.3%) who do not understand the use of the right words in explaining reproductive health education to adolescents. In addition, there were also 31 parents (10.3%) who did not have good communication skills to provide reproductive health education. Parents also find it difficult to motivate their children to seek further information on reproductive health, as many as 30 parents (10%). Low parental self-confidence is also felt because parents have never received reproductive health information, namely as many as 30 parents (10</w:t>
      </w:r>
      <w:r w:rsidR="00F252C7">
        <w:rPr>
          <w:bCs/>
        </w:rPr>
        <w:t>%).</w:t>
      </w:r>
    </w:p>
    <w:p w14:paraId="0D241BE2" w14:textId="74078EE5" w:rsidR="00F252C7" w:rsidRDefault="00591820" w:rsidP="00F252C7">
      <w:pPr>
        <w:ind w:firstLine="567"/>
        <w:jc w:val="both"/>
        <w:rPr>
          <w:bCs/>
        </w:rPr>
      </w:pPr>
      <w:r w:rsidRPr="00591820">
        <w:rPr>
          <w:bCs/>
        </w:rPr>
        <w:t xml:space="preserve">Lack of parental information about reproductive health tends to affect parental knowledge about reproductive health. This will have an impact on parents' ignorance about the right time to provide reproductive health information, as well as techniques for communicating reproductive health problems to adolescents. Lack of parental knowledge about reproductive health will also affect parents' perception that adolescents are still too early to be given reproductive health information </w:t>
      </w:r>
      <w:r w:rsidR="00F252C7">
        <w:rPr>
          <w:bCs/>
        </w:rPr>
        <w:fldChar w:fldCharType="begin" w:fldLock="1"/>
      </w:r>
      <w:r w:rsidR="00542D39">
        <w:rPr>
          <w:bCs/>
        </w:rPr>
        <w:instrText>ADDIN CSL_CITATION {"citationItems":[{"id":"ITEM-1","itemData":{"DOI":"10.1186/s12978-020-00927-6","ISSN":"17424755","PMID":"32460783","abstract":"Background: Repeatedly adolescents in Africa have been experiencing early pregnancy by more than 50%, early parenthood by 30% and new HIV infections by more than 80%. Parent - Adolescent communication as an effective strategy on sexual and reproductive health has not been taken up in most of African countries including Ethiopia. The aim of the study was to assess the challenges of Parent - Adolescent communication on sexual and reproductive health practices in Addis Ababa, Ethiopia. Methods: A qualitative cross-sectional study exploring Parent - Adolescent communication practices was conducted in two high schools Yeka sub-city, Addis Ababa, Ethiopia. Students aged 15-19 years were recruited for in-depth interviews and focused group discussions (FGD) as well as respective parents for in-depth interviews and parents' FGD. Results: Twenty students were available for in-depth interviews and all of them for FDG. Sixteen parents were available for in-depth interviews and nine of them for parent's FGD. Parent - Adolescent communication on sexual and reproductive was reported to be important by both adolescents and parents. The parental initiation is rare. The initial sexual activity by the adolescents triggers initiation by parents. The communications are gender dependent, not planned and not continuous and inhibited by intergenerational cultural taboo. A gap exists in parental knowledge on such communications. Parents deny responsibilities to communicate with adolescent as they fear it will perpetuate early sex practices, adolescents are too young it's an embarrassment, often being busy for household income retards their wills to communicate. Conclusions: Parent-Adolescent communications on sexual and reproductive health is not a common practice in Addis Ababa, Ethiopia due to taboo, cultural structures, gender domains and parental knowledge. These findings alarm the risk of adolescent exposure towards unwanted pregnancies, transmissions of HIV/AIDS and Sexually Transmitted Infections in Addis Ababa.","author":[{"dropping-particle":"","family":"Yibrehu","given":"Meseret Shiferaw","non-dropping-particle":"","parse-names":false,"suffix":""},{"dropping-particle":"","family":"Mbwele","given":"Bernard","non-dropping-particle":"","parse-names":false,"suffix":""}],"container-title":"Reproductive Health","id":"ITEM-1","issue":"1","issued":{"date-parts":[["2020"]]},"page":"1-9","publisher":"Reproductive Health","title":"Parent - Adolescent communication on sexual and reproductive health: The qualitative evidences from parents and students of Addis Ababa, Ethiopia","type":"article-journal","volume":"17"},"uris":["http://www.mendeley.com/documents/?uuid=cf76d9fa-1c9a-46f3-a35f-83d03c67af83"]}],"mendeley":{"formattedCitation":"[26]","plainTextFormattedCitation":"[26]","previouslyFormattedCitation":"[24]"},"properties":{"noteIndex":0},"schema":"https://github.com/citation-style-language/schema/raw/master/csl-citation.json"}</w:instrText>
      </w:r>
      <w:r w:rsidR="00F252C7">
        <w:rPr>
          <w:bCs/>
        </w:rPr>
        <w:fldChar w:fldCharType="separate"/>
      </w:r>
      <w:r w:rsidR="00542D39" w:rsidRPr="00542D39">
        <w:rPr>
          <w:bCs/>
          <w:noProof/>
        </w:rPr>
        <w:t>[26]</w:t>
      </w:r>
      <w:r w:rsidR="00F252C7">
        <w:rPr>
          <w:bCs/>
        </w:rPr>
        <w:fldChar w:fldCharType="end"/>
      </w:r>
      <w:r w:rsidR="00F252C7">
        <w:rPr>
          <w:bCs/>
        </w:rPr>
        <w:t xml:space="preserve">. </w:t>
      </w:r>
    </w:p>
    <w:p w14:paraId="4C84F548" w14:textId="5300C236" w:rsidR="00A462A1" w:rsidRDefault="00591820" w:rsidP="00A462A1">
      <w:pPr>
        <w:ind w:firstLine="720"/>
        <w:jc w:val="both"/>
        <w:rPr>
          <w:lang w:val="id-ID"/>
        </w:rPr>
      </w:pPr>
      <w:r w:rsidRPr="00591820">
        <w:rPr>
          <w:bCs/>
        </w:rPr>
        <w:lastRenderedPageBreak/>
        <w:t>The low self-confidence of parents can also be influenced by lack of communication skills to provide reproductive health information to adolescents. Lack of communication skills regarding reproductive health to adolescents can also be an inhibiting factor in providing reproductive health information to adolescents. If parents are not skilled in communication, adolescents will also judge that parents do not have sufficient knowledge about reproductive health so that adolescents will turn to other parties who are considered comfortable to discuss reproductive health such as friends</w:t>
      </w:r>
      <w:r w:rsidR="00375BE3">
        <w:rPr>
          <w:bCs/>
        </w:rPr>
        <w:t xml:space="preserve"> </w:t>
      </w:r>
      <w:r w:rsidR="00F252C7">
        <w:rPr>
          <w:bCs/>
        </w:rPr>
        <w:fldChar w:fldCharType="begin" w:fldLock="1"/>
      </w:r>
      <w:r w:rsidR="00542D39">
        <w:rPr>
          <w:bCs/>
        </w:rPr>
        <w:instrText>ADDIN CSL_CITATION {"citationItems":[{"id":"ITEM-1","itemData":{"DOI":"10.1155/2014/102579","ISSN":"16879813","PMID":"24987424","abstract":"Background. Open family discussion on reproductive health (RH) issues often leads to increased awareness on RH matters and reduces risky behaviors among adolescents. This study was conducted to assess factors affecting parent-adolescent discussion on RH issues in Harar, Ethiopia. Methods. A cross-sectional survey using face to face interview supplemented with focus group discussion (FGD) was conducted on 751 randomly selected parents of 10-19-year-old adolescents. Data was analyzed using SPSS version 15. Results. More than one-fourth (28.76%) of parents reported discussing RH issues with their adolescents during the last six months. In the logistic regression, parents who have demonstrated good RH knowledge and positive attitude towards RH were almost six times and seventy percent (AOR 5.69, 95% CI: 3.67-8.82; AOR 1.70, 95% CI: 1.08-2.68) higher in discussing RH with their adolescents than their counterparts, respectively. Conclusion. Parent-adolescent discussion about RH issues rarely occurs and is bounded by lack of knowledge, sociocultural norms, and parental concern that discussion would encourage premarital sex. Reproductive health programs should target on improving awareness of parents and addressing sociocultural norms surrounding reproductive health issues. © 2014 Tesfaye Assebe Yadeta et al.","author":[{"dropping-particle":"","family":"Yadeta","given":"Tesfaye Assebe","non-dropping-particle":"","parse-names":false,"suffix":""},{"dropping-particle":"","family":"Bedane","given":"Haji Kedir","non-dropping-particle":"","parse-names":false,"suffix":""},{"dropping-particle":"","family":"Tura","given":"Abera Kenay","non-dropping-particle":"","parse-names":false,"suffix":""}],"container-title":"Journal of Environmental and Public Health","id":"ITEM-1","issued":{"date-parts":[["2014"]]},"title":"Factors affecting parent-adolescent discussion on reproductive health issues in Harar, eastern Ethiopia: A cross-sectional study","type":"article-journal","volume":"2014"},"uris":["http://www.mendeley.com/documents/?uuid=f6d36449-8eb7-4bbe-9a5c-afbd947efa36"]}],"mendeley":{"formattedCitation":"[27]","plainTextFormattedCitation":"[27]","previouslyFormattedCitation":"[25]"},"properties":{"noteIndex":0},"schema":"https://github.com/citation-style-language/schema/raw/master/csl-citation.json"}</w:instrText>
      </w:r>
      <w:r w:rsidR="00F252C7">
        <w:rPr>
          <w:bCs/>
        </w:rPr>
        <w:fldChar w:fldCharType="separate"/>
      </w:r>
      <w:r w:rsidR="00542D39" w:rsidRPr="00542D39">
        <w:rPr>
          <w:bCs/>
          <w:noProof/>
        </w:rPr>
        <w:t>[27]</w:t>
      </w:r>
      <w:r w:rsidR="00F252C7">
        <w:rPr>
          <w:bCs/>
        </w:rPr>
        <w:fldChar w:fldCharType="end"/>
      </w:r>
      <w:r w:rsidR="00F252C7">
        <w:rPr>
          <w:bCs/>
        </w:rPr>
        <w:t xml:space="preserve">. </w:t>
      </w:r>
      <w:r w:rsidRPr="00591820">
        <w:rPr>
          <w:bCs/>
        </w:rPr>
        <w:t>If there is limited communication between parents and adolescents about reproductive health and sexuality, it will affect the closeness of communication between adolescents and parents. Parents will also be embarrassed, and afraid to start discussions on reproductive health</w:t>
      </w:r>
      <w:r w:rsidR="00F252C7">
        <w:rPr>
          <w:bCs/>
        </w:rPr>
        <w:t xml:space="preserve"> </w:t>
      </w:r>
      <w:r w:rsidR="00F252C7">
        <w:rPr>
          <w:bCs/>
        </w:rPr>
        <w:fldChar w:fldCharType="begin" w:fldLock="1"/>
      </w:r>
      <w:r w:rsidR="00542D39">
        <w:rPr>
          <w:bCs/>
        </w:rPr>
        <w:instrText>ADDIN CSL_CITATION {"citationItems":[{"id":"ITEM-1","itemData":{"author":[{"dropping-particle":"","family":"Wamoyi","given":"Joyce","non-dropping-particle":"","parse-names":false,"suffix":""},{"dropping-particle":"","family":"Fenwick","given":"Angela","non-dropping-particle":"","parse-names":false,"suffix":""},{"dropping-particle":"","family":"Urassa","given":"Mark","non-dropping-particle":"","parse-names":false,"suffix":""},{"dropping-particle":"","family":"Zaba","given":"Basia","non-dropping-particle":"","parse-names":false,"suffix":""},{"dropping-particle":"","family":"Stones","given":"William","non-dropping-particle":"","parse-names":false,"suffix":""}],"container-title":"Reproductive Health","id":"ITEM-1","issue":"1","issued":{"date-parts":[["2010"]]},"page":"6","title":"Parent-Child Communication about Sexual and Reproductive Health in Rural Tanzania: Implications for Young People's Sexual Health Intervention","type":"article-journal","volume":"7"},"uris":["http://www.mendeley.com/documents/?uuid=117bd712-2076-4683-9b4c-4bcb02bd9380"]}],"mendeley":{"formattedCitation":"[28]","plainTextFormattedCitation":"[28]","previouslyFormattedCitation":"[26]"},"properties":{"noteIndex":0},"schema":"https://github.com/citation-style-language/schema/raw/master/csl-citation.json"}</w:instrText>
      </w:r>
      <w:r w:rsidR="00F252C7">
        <w:rPr>
          <w:bCs/>
        </w:rPr>
        <w:fldChar w:fldCharType="separate"/>
      </w:r>
      <w:r w:rsidR="00542D39" w:rsidRPr="00542D39">
        <w:rPr>
          <w:bCs/>
          <w:noProof/>
        </w:rPr>
        <w:t>[28]</w:t>
      </w:r>
      <w:r w:rsidR="00F252C7">
        <w:rPr>
          <w:bCs/>
        </w:rPr>
        <w:fldChar w:fldCharType="end"/>
      </w:r>
      <w:r w:rsidR="00F252C7">
        <w:rPr>
          <w:bCs/>
        </w:rPr>
        <w:t xml:space="preserve">. </w:t>
      </w:r>
      <w:r w:rsidRPr="00591820">
        <w:rPr>
          <w:bCs/>
        </w:rPr>
        <w:t>Therefore, efforts are needed to increase parental knowledge, as well as parental skills in communicating related to reproductive health to adolescents so that adolescents are comfortable to discuss with their parents</w:t>
      </w:r>
      <w:r w:rsidR="00EE4290" w:rsidRPr="003D5B84">
        <w:rPr>
          <w:lang w:val="id-ID"/>
        </w:rPr>
        <w:t>.</w:t>
      </w:r>
    </w:p>
    <w:p w14:paraId="5E8E159A" w14:textId="51055A6D" w:rsidR="00A462A1" w:rsidRDefault="00591820" w:rsidP="00A462A1">
      <w:pPr>
        <w:ind w:firstLine="720"/>
        <w:jc w:val="both"/>
        <w:rPr>
          <w:bCs/>
        </w:rPr>
      </w:pPr>
      <w:r w:rsidRPr="00591820">
        <w:rPr>
          <w:bCs/>
        </w:rPr>
        <w:t xml:space="preserve">Spouse support is also a factor that influences parents in providing reproductive health information to adolescents. Spouse support that has been good in this study, as many as 280 parents (93.3%) have received support from their partners in the form of motivation to always supervise the association of their teenage children. A total of 279 parents (93%) have received support from their partners in the form of providing motivation to monitor the development of adolescent reproductive health. Spouses have also supported by assisting adolescents in finding additional information on reproductive health and sexuality, as many as 276 parents (92%). Support obtained from partners in the form of information on adolescent relationships, friendships, reproductive health, and reproductive health literacy will be very helpful in discussions on reproductive health among adolescents </w:t>
      </w:r>
      <w:r w:rsidR="00F77040">
        <w:rPr>
          <w:bCs/>
        </w:rPr>
        <w:fldChar w:fldCharType="begin" w:fldLock="1"/>
      </w:r>
      <w:r w:rsidR="00542D39">
        <w:rPr>
          <w:bCs/>
        </w:rPr>
        <w:instrText>ADDIN CSL_CITATION {"citationItems":[{"id":"ITEM-1","itemData":{"author":[{"dropping-particle":"","family":"UNESCO","given":"","non-dropping-particle":"","parse-names":false,"suffix":""}],"id":"ITEM-1","issued":{"date-parts":[["2018"]]},"publisher":"United Nations Educational, Scientific and Cultural Organization (UNSESCO)","publisher-place":"Paris","title":"International Technical Guidance on Sexuality Education","type":"book"},"uris":["http://www.mendeley.com/documents/?uuid=83cd2a22-45f1-4591-8f2c-2d617d633729"]}],"mendeley":{"formattedCitation":"[29]","plainTextFormattedCitation":"[29]","previouslyFormattedCitation":"[27]"},"properties":{"noteIndex":0},"schema":"https://github.com/citation-style-language/schema/raw/master/csl-citation.json"}</w:instrText>
      </w:r>
      <w:r w:rsidR="00F77040">
        <w:rPr>
          <w:bCs/>
        </w:rPr>
        <w:fldChar w:fldCharType="separate"/>
      </w:r>
      <w:r w:rsidR="00542D39" w:rsidRPr="00542D39">
        <w:rPr>
          <w:bCs/>
          <w:noProof/>
        </w:rPr>
        <w:t>[29]</w:t>
      </w:r>
      <w:r w:rsidR="00F77040">
        <w:rPr>
          <w:bCs/>
        </w:rPr>
        <w:fldChar w:fldCharType="end"/>
      </w:r>
      <w:r w:rsidR="00F77040">
        <w:rPr>
          <w:bCs/>
        </w:rPr>
        <w:t xml:space="preserve">. </w:t>
      </w:r>
    </w:p>
    <w:p w14:paraId="72C7AD99" w14:textId="7E26D365" w:rsidR="00272EBD" w:rsidRDefault="00591820" w:rsidP="00272EBD">
      <w:pPr>
        <w:ind w:firstLine="720"/>
        <w:jc w:val="both"/>
        <w:rPr>
          <w:bCs/>
        </w:rPr>
      </w:pPr>
      <w:r w:rsidRPr="00591820">
        <w:rPr>
          <w:bCs/>
        </w:rPr>
        <w:t xml:space="preserve">Meanwhile, there is also support from partners who are considered low by parents, including as many as 204 parents (68%) who feel that their partners provide inappropriate reproductive health information to adolescents. Parents also feel that their partners do not provide information to them regarding reproductive health materials that must be given to adolescents, namely 199 parents (66.3%). Another low partner support is instrumental support. As many as 75 parents (25%) admitted that their partners did not provide media containing material on reproductive health and adolescent sexuality. This lack of partner support can occur due to a lack of parental knowledge about reproductive health materials provided to adolescents, and parents do not know how to access appropriate reproductive health information. Efforts are needed to empower parents so that parents have good health literacy related to reproductive health so that they can convey reproductive health information to adolescents </w:t>
      </w:r>
      <w:r w:rsidR="00997D5C">
        <w:rPr>
          <w:bCs/>
        </w:rPr>
        <w:fldChar w:fldCharType="begin" w:fldLock="1"/>
      </w:r>
      <w:r w:rsidR="00542D39">
        <w:rPr>
          <w:bCs/>
        </w:rPr>
        <w:instrText>ADDIN CSL_CITATION {"citationItems":[{"id":"ITEM-1","itemData":{"DOI":"10.1186/s12978-019-0778-6","ISSN":"17424755","PMID":"31340826","abstract":"BACKGROUND: Parent-adolescent reproductive health (RH) communication is one of the potential sources of information for adolescents on the topic. Given that female adolescents in Bangladesh are faced with increasing RH-related risks, it is important to understand how parents communicate about RH to their adolescents from the adolescents' perspectives. Therefore, the aim of this study is to explore the status of mother-adolescent daughter communication on reproductive health in Bangladesh. METHODS: A cross-sectional study targeting female students was conducted in five high schools in Chittagong based on a self-administered questionnaire survey. A description method was used to describe the characteristics of mother-adolescent daughters' communication on RH including the frequency, type and the quantity of topics. Bivariate and multivariate logistic regression analyses were performed to explore the factors influencing mother-adolescent daughter communication. RESULTS: In the study, 1174 female students aged from 13 to 19 years old were included. The main source of knowledge on RH was from their mother (62%), and the mother was the person who communicated first on RH with adolescent students. The topics of mother-daughter communication were mainly focused on menstruation issues (&gt; 80%). Multivariate logistic regressions showed that Hindu students, students with good RH knowledge, adolescents' mothers having good RH knowledge, mothers with high media use, good mother-daughter relationship, daughters' regular general communication with mothers, and students' perceiving comfort in RH communication with their mothers were reported as significant predictors for a good RH communication status. On the contrary, students having family members numbering more than four, whose primary source of reproductive health information was friends/classmates as well as media were less likely to have better RH communication with mothers. CONCLUSIONS: The overall communication on reproductive health between adolescent daughters and their mothers was not good. This study suggests for conducting qualitative research investigating the socio-cultural context within which the RH communications happen. and how to address the obstacles that might hinder this communication.","author":[{"dropping-particle":"","family":"Zakaria","given":"Muhammad","non-dropping-particle":"","parse-names":false,"suffix":""},{"dropping-particle":"","family":"Xu","given":"Junfang","non-dropping-particle":"","parse-names":false,"suffix":""},{"dropping-particle":"","family":"Karim","given":"Farzana","non-dropping-particle":"","parse-names":false,"suffix":""},{"dropping-particle":"","family":"Cheng","given":"Feng","non-dropping-particle":"","parse-names":false,"suffix":""}],"container-title":"Reproductive health","id":"ITEM-1","issue":"1","issued":{"date-parts":[["2019"]]},"page":"114","publisher":"Reproductive Health","title":"Reproductive health communication between mother and adolescent daughter in Bangladesh: a cross-sectional study","type":"article-journal","volume":"16"},"uris":["http://www.mendeley.com/documents/?uuid=728a7fb0-8df8-46f1-a5f4-9b7460ed4494"]},{"id":"ITEM-2","itemData":{"DOI":"10.1186/s12978-020-00938-3","ISSN":"17424755","PMID":"32487239","abstract":"Background: Parents are an important source of sexual and reproductive health (SRH) information for very young adolescents and are likely to have a significant influence on adolescents' sexual attitudes, values, and risk-related beliefs. This study explored the nature and content of parent-child communication about SRH issues. Methods: Thirty-two parents and 30 adolescent boys and girls aged between 11 and 13 years participated in narrative interviews in a resource-poor urban setting in Nairobi, Kenya. Interviews were audio-recorded, transcribed, translated into English, and uploaded on Atlas.ti software for coding and analysis. Results: Findings from the study show gender differences in parent-child communication. More girls than boys reported that they had talked with their parents about romantic relationships. Four approaches - no communication, fear-based communication, supportive communication, and involving an external person were used by parents in SRH communication. Parents hostile attitudes towards romantic relationships during adolescence discouraged adolescents from disclosing their relationship status. While communication did occur, it was mainly reactive, one-sided, and authoritarian, often initiated by parents. Conclusions: Parents need to be empowered with adequate and factual SRH information and effective communication strategies to enhance communication with very young adolescents. There is a need for further research to identify the most effective parent-child communication approaches to improve SRH outcomes among adolescents.","author":[{"dropping-particle":"","family":"Maina","given":"Beatrice W.","non-dropping-particle":"","parse-names":false,"suffix":""},{"dropping-particle":"","family":"Ushie","given":"Boniface Ayanbekongshie","non-dropping-particle":"","parse-names":false,"suffix":""},{"dropping-particle":"","family":"Kabiru","given":"Caroline W.","non-dropping-particle":"","parse-names":false,"suffix":""}],"container-title":"Reproductive Health","id":"ITEM-2","issue":"1","issued":{"date-parts":[["2020"]]},"page":"1-14","publisher":"Reproductive Health","title":"Parent-child sexual and reproductive health communication among very young adolescents in Korogocho informal settlement in Nairobi, Kenya","type":"article-journal","volume":"17"},"uris":["http://www.mendeley.com/documents/?uuid=ae812e63-16af-4e73-8c88-96ebc542b149"]}],"mendeley":{"formattedCitation":"[30], [31]","plainTextFormattedCitation":"[30], [31]","previouslyFormattedCitation":"[28], [29]"},"properties":{"noteIndex":0},"schema":"https://github.com/citation-style-language/schema/raw/master/csl-citation.json"}</w:instrText>
      </w:r>
      <w:r w:rsidR="00997D5C">
        <w:rPr>
          <w:bCs/>
        </w:rPr>
        <w:fldChar w:fldCharType="separate"/>
      </w:r>
      <w:r w:rsidR="00542D39" w:rsidRPr="00542D39">
        <w:rPr>
          <w:bCs/>
          <w:noProof/>
        </w:rPr>
        <w:t>[30], [31]</w:t>
      </w:r>
      <w:r w:rsidR="00997D5C">
        <w:rPr>
          <w:bCs/>
        </w:rPr>
        <w:fldChar w:fldCharType="end"/>
      </w:r>
      <w:r w:rsidR="005713BB">
        <w:rPr>
          <w:bCs/>
        </w:rPr>
        <w:t xml:space="preserve">. </w:t>
      </w:r>
    </w:p>
    <w:p w14:paraId="44AC105F" w14:textId="115F4904" w:rsidR="00835817" w:rsidRDefault="00591820" w:rsidP="00FC41C5">
      <w:pPr>
        <w:ind w:firstLine="720"/>
        <w:jc w:val="both"/>
        <w:rPr>
          <w:bCs/>
        </w:rPr>
      </w:pPr>
      <w:r w:rsidRPr="00591820">
        <w:rPr>
          <w:bCs/>
        </w:rPr>
        <w:t>Lack of support from partners will be an obstacle for parents in conveying reproductive health information. Parents in this study felt they did not have enough time to provide reproductive health information (58.3%). The limited time that parents have to discuss reproductive health can make adolescents discourage their intention to ask their parents about reproductive health problems</w:t>
      </w:r>
      <w:r w:rsidR="00553B81">
        <w:rPr>
          <w:bCs/>
        </w:rPr>
        <w:t xml:space="preserve"> </w:t>
      </w:r>
      <w:r w:rsidR="00553B81">
        <w:rPr>
          <w:bCs/>
        </w:rPr>
        <w:fldChar w:fldCharType="begin" w:fldLock="1"/>
      </w:r>
      <w:r w:rsidR="00542D39">
        <w:rPr>
          <w:bCs/>
        </w:rPr>
        <w:instrText>ADDIN CSL_CITATION {"citationItems":[{"id":"ITEM-1","itemData":{"DOI":"10.1186/s12978-020-00927-6","ISSN":"17424755","PMID":"32460783","abstract":"Background: Repeatedly adolescents in Africa have been experiencing early pregnancy by more than 50%, early parenthood by 30% and new HIV infections by more than 80%. Parent - Adolescent communication as an effective strategy on sexual and reproductive health has not been taken up in most of African countries including Ethiopia. The aim of the study was to assess the challenges of Parent - Adolescent communication on sexual and reproductive health practices in Addis Ababa, Ethiopia. Methods: A qualitative cross-sectional study exploring Parent - Adolescent communication practices was conducted in two high schools Yeka sub-city, Addis Ababa, Ethiopia. Students aged 15-19 years were recruited for in-depth interviews and focused group discussions (FGD) as well as respective parents for in-depth interviews and parents' FGD. Results: Twenty students were available for in-depth interviews and all of them for FDG. Sixteen parents were available for in-depth interviews and nine of them for parent's FGD. Parent - Adolescent communication on sexual and reproductive was reported to be important by both adolescents and parents. The parental initiation is rare. The initial sexual activity by the adolescents triggers initiation by parents. The communications are gender dependent, not planned and not continuous and inhibited by intergenerational cultural taboo. A gap exists in parental knowledge on such communications. Parents deny responsibilities to communicate with adolescent as they fear it will perpetuate early sex practices, adolescents are too young it's an embarrassment, often being busy for household income retards their wills to communicate. Conclusions: Parent-Adolescent communications on sexual and reproductive health is not a common practice in Addis Ababa, Ethiopia due to taboo, cultural structures, gender domains and parental knowledge. These findings alarm the risk of adolescent exposure towards unwanted pregnancies, transmissions of HIV/AIDS and Sexually Transmitted Infections in Addis Ababa.","author":[{"dropping-particle":"","family":"Yibrehu","given":"Meseret Shiferaw","non-dropping-particle":"","parse-names":false,"suffix":""},{"dropping-particle":"","family":"Mbwele","given":"Bernard","non-dropping-particle":"","parse-names":false,"suffix":""}],"container-title":"Reproductive Health","id":"ITEM-1","issue":"1","issued":{"date-parts":[["2020"]]},"page":"1-9","publisher":"Reproductive Health","title":"Parent - Adolescent communication on sexual and reproductive health: The qualitative evidences from parents and students of Addis Ababa, Ethiopia","type":"article-journal","volume":"17"},"uris":["http://www.mendeley.com/documents/?uuid=cf76d9fa-1c9a-46f3-a35f-83d03c67af83"]}],"mendeley":{"formattedCitation":"[26]","plainTextFormattedCitation":"[26]","previouslyFormattedCitation":"[24]"},"properties":{"noteIndex":0},"schema":"https://github.com/citation-style-language/schema/raw/master/csl-citation.json"}</w:instrText>
      </w:r>
      <w:r w:rsidR="00553B81">
        <w:rPr>
          <w:bCs/>
        </w:rPr>
        <w:fldChar w:fldCharType="separate"/>
      </w:r>
      <w:r w:rsidR="00542D39" w:rsidRPr="00542D39">
        <w:rPr>
          <w:bCs/>
          <w:noProof/>
        </w:rPr>
        <w:t>[26]</w:t>
      </w:r>
      <w:r w:rsidR="00553B81">
        <w:rPr>
          <w:bCs/>
        </w:rPr>
        <w:fldChar w:fldCharType="end"/>
      </w:r>
      <w:r w:rsidR="00553B81">
        <w:rPr>
          <w:bCs/>
        </w:rPr>
        <w:t xml:space="preserve">. </w:t>
      </w:r>
      <w:r w:rsidRPr="00591820">
        <w:rPr>
          <w:bCs/>
        </w:rPr>
        <w:t>Parents are also afraid of negative consequences because society still considers reproductive health material to be a taboo subject (56%). These norms and culture can be an obstacle for parents to communicate reproductive health to adolescents. If the community still considers reproductive health material to be a taboo subject to discuss, parents will be embarrassed if they start discussing the issue</w:t>
      </w:r>
      <w:r w:rsidR="00C2257C">
        <w:rPr>
          <w:bCs/>
        </w:rPr>
        <w:t xml:space="preserve"> </w:t>
      </w:r>
      <w:r w:rsidR="00C2257C">
        <w:rPr>
          <w:bCs/>
        </w:rPr>
        <w:fldChar w:fldCharType="begin" w:fldLock="1"/>
      </w:r>
      <w:r w:rsidR="00542D39">
        <w:rPr>
          <w:bCs/>
        </w:rPr>
        <w:instrText>ADDIN CSL_CITATION {"citationItems":[{"id":"ITEM-1","itemData":{"DOI":"10.5897/jasd2016.0410","abstract":"The increasing rate of risky behaviours among the East African adolescents has greater burden to the adolescent, family and the society. Young women in this region are exposed to potential sexual and reproductive health problems including sexually transmitted infections, unwanted pregnancies, unsafe abortions, contraception, sexual abuse and rape, female genital mutilation, and maternal or child mortality. This is attributed by failure of communication of most parents in this region with their adolescents on issues of sexuality and reproductive health like condom use, puberty, STIs and physical development. On the base of academic literature and other materials, this paper argues that parents'-adolescents' communication on sexual and reproductive health issues in this region is circumscribed by various factors including gender differences, level of education among parents, occupations, traditional norms and religion. The paper concludes that, parents and other adults' discussion with adolescents on reproductive health issues is imperative in reducing risky behaviors among adolescents. For effective communication on reproductive health issues, parents and adults need to be educated on their roles as primary source of information to their children. Furthermore, there is a need to address gender differences and socio-cultural norms that hinder effective communication.","author":[{"dropping-particle":"","family":"Abdallah","given":"A. Kamangu","non-dropping-particle":"","parse-names":false,"suffix":""},{"dropping-particle":"","family":"Magata","given":"R.John","non-dropping-particle":"","parse-names":false,"suffix":""},{"dropping-particle":"","family":"Sylvester","given":"J. Nyakoki","non-dropping-particle":"","parse-names":false,"suffix":""}],"container-title":"Journal of African Studies and Development","id":"ITEM-1","issue":"4","issued":{"date-parts":[["2017"]]},"page":"45-50","title":"Barriers to parent-child communication on sexual and reproductive health issues in East Africa: A review of qualitative research in four countries","type":"article-journal","volume":"9"},"uris":["http://www.mendeley.com/documents/?uuid=935bb27f-2606-4623-b0cb-487b63f10a24"]}],"mendeley":{"formattedCitation":"[32]","plainTextFormattedCitation":"[32]","previouslyFormattedCitation":"[30]"},"properties":{"noteIndex":0},"schema":"https://github.com/citation-style-language/schema/raw/master/csl-citation.json"}</w:instrText>
      </w:r>
      <w:r w:rsidR="00C2257C">
        <w:rPr>
          <w:bCs/>
        </w:rPr>
        <w:fldChar w:fldCharType="separate"/>
      </w:r>
      <w:r w:rsidR="00542D39" w:rsidRPr="00542D39">
        <w:rPr>
          <w:bCs/>
          <w:noProof/>
        </w:rPr>
        <w:t>[32]</w:t>
      </w:r>
      <w:r w:rsidR="00C2257C">
        <w:rPr>
          <w:bCs/>
        </w:rPr>
        <w:fldChar w:fldCharType="end"/>
      </w:r>
      <w:r w:rsidR="002B738F">
        <w:rPr>
          <w:bCs/>
        </w:rPr>
        <w:t xml:space="preserve">. </w:t>
      </w:r>
      <w:r w:rsidRPr="00591820">
        <w:rPr>
          <w:bCs/>
        </w:rPr>
        <w:t>Therefore, communication, information and education are needed to the public regarding reproductive health because community norms that support the provision of reproductive health education to adolescents relate to the intentions and skills of adolescents not to engage in premarital sex.</w:t>
      </w:r>
      <w:r w:rsidR="00824B9B">
        <w:rPr>
          <w:bCs/>
        </w:rPr>
        <w:t xml:space="preserve"> </w:t>
      </w:r>
      <w:r w:rsidR="00824B9B">
        <w:rPr>
          <w:bCs/>
        </w:rPr>
        <w:fldChar w:fldCharType="begin" w:fldLock="1"/>
      </w:r>
      <w:r w:rsidR="00542D39">
        <w:rPr>
          <w:bCs/>
        </w:rPr>
        <w:instrText>ADDIN CSL_CITATION {"citationItems":[{"id":"ITEM-1","itemData":{"author":[{"dropping-particle":"","family":"Ghaffar","given":"Muhammad Luthfi Abdul","non-dropping-particle":"","parse-names":false,"suffix":""},{"dropping-particle":"","family":"Kusumaningrum","given":"Tanjung Anitasari Indah","non-dropping-particle":"","parse-names":false,"suffix":""}],"container-title":"Jurnal Ilmu Kesehatan Masyarakat Berkala","id":"ITEM-1","issue":"1","issued":{"date-parts":[["2021"]]},"page":"70-79","title":"Hubungan Norma Sosial dan Dukungan Teman Sebaya terhadap Niat Pantang Perilaku Seksual ( Sexual Abstinence ) pada Remaja","type":"article-journal","volume":"3"},"uris":["http://www.mendeley.com/documents/?uuid=030797e4-2331-479d-a700-345a55e8a5e3"]}],"mendeley":{"formattedCitation":"[33]","plainTextFormattedCitation":"[33]","previouslyFormattedCitation":"[31]"},"properties":{"noteIndex":0},"schema":"https://github.com/citation-style-language/schema/raw/master/csl-citation.json"}</w:instrText>
      </w:r>
      <w:r w:rsidR="00824B9B">
        <w:rPr>
          <w:bCs/>
        </w:rPr>
        <w:fldChar w:fldCharType="separate"/>
      </w:r>
      <w:r w:rsidR="00542D39" w:rsidRPr="00542D39">
        <w:rPr>
          <w:bCs/>
          <w:noProof/>
        </w:rPr>
        <w:t>[33]</w:t>
      </w:r>
      <w:r w:rsidR="00824B9B">
        <w:rPr>
          <w:bCs/>
        </w:rPr>
        <w:fldChar w:fldCharType="end"/>
      </w:r>
      <w:r w:rsidR="00824B9B">
        <w:rPr>
          <w:bCs/>
        </w:rPr>
        <w:t xml:space="preserve">. </w:t>
      </w:r>
    </w:p>
    <w:p w14:paraId="65564AD0" w14:textId="704EBBBF" w:rsidR="00FC41C5" w:rsidRDefault="00591820" w:rsidP="00FC41C5">
      <w:pPr>
        <w:ind w:firstLine="720"/>
        <w:jc w:val="both"/>
        <w:rPr>
          <w:bCs/>
        </w:rPr>
      </w:pPr>
      <w:r w:rsidRPr="00591820">
        <w:rPr>
          <w:bCs/>
        </w:rPr>
        <w:t xml:space="preserve">Another obstacle perceived by parents is the absence of a place to share experiences in providing reproductive health education to adolescents. Friends to share experiences is one of the things that parents need in accessing reproductive health information. Access to reproductive health information is closely related to improving reproductive health communication from parents to adolescents </w:t>
      </w:r>
      <w:r w:rsidR="002F1661">
        <w:rPr>
          <w:bCs/>
        </w:rPr>
        <w:fldChar w:fldCharType="begin" w:fldLock="1"/>
      </w:r>
      <w:r w:rsidR="00542D39">
        <w:rPr>
          <w:bCs/>
        </w:rPr>
        <w:instrText>ADDIN CSL_CITATION {"citationItems":[{"id":"ITEM-1","itemData":{"DOI":"10.1080/16549716.2020.1785145","ISSN":"16549880","PMID":"32741355","abstract":"Background: Adolescent health has become a priority on the global health agenda. Parent-adolescent communication regarding sexual and reproductive health (SRH) issues can help to reduce adolescent risk-taking sexual behaviours. Objective: This study was to describe the situation of SRH communication, and to determine the factors associated with SRH communication between high school students and their parents in Vientiane Capital prefecture, Lao PDR. Methods: A multistage sampling technique was applied. A self-administered questionnaire was implemented among a sample of 384 high school students aged 14–17 in Vientiane. SRH communication in this study was recorded as the frequency with which adolescents discussed with their parents at least four topics on SRH issues during a six-month period prior to the interview. Data were entered and analysed using Epi Data software version 6.0 and STATA software version 14.2. Results: Slightly more than one-fifth of the students (21.3%) communicated with parents on SRH issues. The multivariate logistic regression model showed that being a male adolescent (AOR = 2.1; 95% CI 1.2 to 3.5), urban school locations (AOR = 0.2; 95% CI 0.1 to 0.5), a mature father (AOR = 1.7; 95% CI 1.0 to 2.9), positive attitudes towards general communication with parents (AOR = 2.2; 95% CI 1.1 to 4.2) and accessibility to multiple SRH information sources (AOR = 5.2; 95% CI 2.4 to 11.4) were significantly associated with adolescent-parent communication on SRH issues. Conclusion: This study showed that student-parent communication on SRH issues was low, so policymakers should develop programs to improve SRH communication skills in all schools and encourage open discussion among family members, especially with respect to the participation of adolescent girls. The positive attitudes of students and multiple sources of SRH information were also important factors in improving SRH communication.","author":[{"dropping-particle":"","family":"Vongsavanh","given":"Visany","non-dropping-particle":"","parse-names":false,"suffix":""},{"dropping-particle":"","family":"Lan","given":"Vu Thi Hoang","non-dropping-particle":"","parse-names":false,"suffix":""},{"dropping-particle":"","family":"Sychareun","given":"Vanphanom","non-dropping-particle":"","parse-names":false,"suffix":""}],"container-title":"Global Health Action","id":"ITEM-1","issue":"sup2","issued":{"date-parts":[["2020"]]},"publisher":"Taylor &amp; Francis","title":"Sexual and reproductive health communication between parents and high school adolescents in Vientiane Prefecture, Lao PDR","type":"article-journal","volume":"13"},"uris":["http://www.mendeley.com/documents/?uuid=c212519d-1057-4a66-a593-50b16d64a058"]}],"mendeley":{"formattedCitation":"[34]","plainTextFormattedCitation":"[34]","previouslyFormattedCitation":"[32]"},"properties":{"noteIndex":0},"schema":"https://github.com/citation-style-language/schema/raw/master/csl-citation.json"}</w:instrText>
      </w:r>
      <w:r w:rsidR="002F1661">
        <w:rPr>
          <w:bCs/>
        </w:rPr>
        <w:fldChar w:fldCharType="separate"/>
      </w:r>
      <w:r w:rsidR="00542D39" w:rsidRPr="00542D39">
        <w:rPr>
          <w:bCs/>
          <w:noProof/>
        </w:rPr>
        <w:t>[34]</w:t>
      </w:r>
      <w:r w:rsidR="002F1661">
        <w:rPr>
          <w:bCs/>
        </w:rPr>
        <w:fldChar w:fldCharType="end"/>
      </w:r>
      <w:r w:rsidR="002F1661">
        <w:rPr>
          <w:bCs/>
        </w:rPr>
        <w:t>.</w:t>
      </w:r>
      <w:r w:rsidR="00BF525B">
        <w:rPr>
          <w:bCs/>
        </w:rPr>
        <w:t xml:space="preserve"> </w:t>
      </w:r>
      <w:r w:rsidRPr="00591820">
        <w:rPr>
          <w:bCs/>
        </w:rPr>
        <w:t xml:space="preserve">Access to information is important because limited knowledge about reproductive health becomes an obstacle in providing reproductive health information. If parents' knowledge about reproductive health and sexuality is good, it can improve reproductive health communication between parents and adolescents </w:t>
      </w:r>
      <w:r w:rsidR="00BF525B">
        <w:rPr>
          <w:bCs/>
        </w:rPr>
        <w:fldChar w:fldCharType="begin" w:fldLock="1"/>
      </w:r>
      <w:r w:rsidR="00824B9B">
        <w:rPr>
          <w:bCs/>
        </w:rPr>
        <w:instrText>ADDIN CSL_CITATION {"citationItems":[{"id":"ITEM-1","itemData":{"DOI":"10.3329/seajph.v1i1.13219","ISSN":"2220-9476","abstract":"Adolescence is a transitional period and an important stage in an individual's life. Adolescents are at risk of adverse reproductive health outcomes such as unplanned or unwanted pregnancy, unsafe abortions, maternal health complications, and sexually transmitted diseases (STDs) including HIV/AIDS. Previous studies indicate that adolescents whose parents talk to them about sex tend to be less sexually active and more likely to use an effective means of contraception. The objective of the study was to find out the level and content of communication between adolescents and their parents. Ease of communication, future intentions to discuss with parents and confidence in parents' knowledge of reproductive health were also examined. A cross sectional descriptive study using structured questionnaire was conducted among 91 adolescents (11-19 years old) in North Okkalapa Township of Yangon Division, Myanmar. The majority of the people there had little knowledge on pubertal changes and STDs, and moderate knowledge on contraception. Sixty three percent of adolescents communicated at least once with their parents on reproductive health within the last 6 months: 6.8% with fathers and 62.6% with mothers. Only 15.4% talked more than three times. Girls were more likely to communicate with mothers than boys (79% vs. 33%, P&lt;0.001). The main topic of discussion among mother and girls is menstruation, and among mothers and boys, HIV/AIDS/STDs are mainly discussed. Regarding the ease of communication, only 15% felt comfortable talking with parents. Most of the adolescents (89%) had positive attitude towards communicating with their parents. The findings suggest the need to involve parents in existing adolescent reproductive health programs and design interventions focusing on parents to promote parent-adolescent communication. DOI: http://dx.doi.org/10.3329/seajph.v1i1.13219 South East Asia Journal of Public Health 2011:1:40-45","author":[{"dropping-particle":"","family":"Oo","given":"Yin Thet Nu","non-dropping-particle":"","parse-names":false,"suffix":""},{"dropping-particle":"","family":"Zaw","given":"Ko Ko","non-dropping-particle":"","parse-names":false,"suffix":""},{"dropping-particle":"","family":"Than","given":"Kyu Kyu","non-dropping-particle":"","parse-names":false,"suffix":""},{"dropping-particle":"","family":"Mg","given":"The Mg","non-dropping-particle":"","parse-names":false,"suffix":""},{"dropping-particle":"","family":"Mar","given":"Kyi Kyi","non-dropping-particle":"","parse-names":false,"suffix":""},{"dropping-particle":"","family":"Aye","given":"San San","non-dropping-particle":"","parse-names":false,"suffix":""}],"container-title":"South East Asia Journal of Public Health","id":"ITEM-1","issue":"1","issued":{"date-parts":[["2013"]]},"page":"40-45","title":"Do parents and adolescents talk about reproductive health? Myanmar adolescents' perspective","type":"article-journal","volume":"1"},"uris":["http://www.mendeley.com/documents/?uuid=c016da45-b868-4667-b737-62754240d659"]}],"mendeley":{"formattedCitation":"[9]","plainTextFormattedCitation":"[9]","previouslyFormattedCitation":"[9]"},"properties":{"noteIndex":0},"schema":"https://github.com/citation-style-language/schema/raw/master/csl-citation.json"}</w:instrText>
      </w:r>
      <w:r w:rsidR="00BF525B">
        <w:rPr>
          <w:bCs/>
        </w:rPr>
        <w:fldChar w:fldCharType="separate"/>
      </w:r>
      <w:r w:rsidR="00BF525B" w:rsidRPr="00BF525B">
        <w:rPr>
          <w:bCs/>
          <w:noProof/>
        </w:rPr>
        <w:t>[9]</w:t>
      </w:r>
      <w:r w:rsidR="00BF525B">
        <w:rPr>
          <w:bCs/>
        </w:rPr>
        <w:fldChar w:fldCharType="end"/>
      </w:r>
      <w:r w:rsidR="00BF525B">
        <w:rPr>
          <w:bCs/>
        </w:rPr>
        <w:t>.</w:t>
      </w:r>
    </w:p>
    <w:p w14:paraId="19F907A9" w14:textId="77777777" w:rsidR="000F279B" w:rsidRPr="003D5B84" w:rsidRDefault="000F279B" w:rsidP="009674B0">
      <w:pPr>
        <w:jc w:val="both"/>
        <w:rPr>
          <w:bCs/>
          <w:lang w:val="id-ID"/>
        </w:rPr>
      </w:pPr>
    </w:p>
    <w:p w14:paraId="01A79B04" w14:textId="77777777" w:rsidR="002622CD" w:rsidRPr="003D5B84" w:rsidRDefault="002622CD" w:rsidP="00904D6D">
      <w:pPr>
        <w:rPr>
          <w:b/>
          <w:bCs/>
          <w:lang w:val="id-ID"/>
        </w:rPr>
      </w:pPr>
    </w:p>
    <w:p w14:paraId="15F299E9" w14:textId="0C898CCE" w:rsidR="00904D6D" w:rsidRPr="003D5B84" w:rsidRDefault="00F33C08" w:rsidP="00D74C5F">
      <w:pPr>
        <w:numPr>
          <w:ilvl w:val="0"/>
          <w:numId w:val="15"/>
        </w:numPr>
        <w:tabs>
          <w:tab w:val="left" w:pos="426"/>
        </w:tabs>
        <w:ind w:left="426" w:hanging="426"/>
        <w:rPr>
          <w:b/>
          <w:bCs/>
          <w:lang w:val="id-ID"/>
        </w:rPr>
      </w:pPr>
      <w:r w:rsidRPr="003D5B84">
        <w:rPr>
          <w:b/>
          <w:bCs/>
          <w:lang w:val="id-ID"/>
        </w:rPr>
        <w:t>CONCLUSION</w:t>
      </w:r>
      <w:r>
        <w:rPr>
          <w:b/>
          <w:bCs/>
        </w:rPr>
        <w:t xml:space="preserve"> </w:t>
      </w:r>
    </w:p>
    <w:p w14:paraId="17072EA1" w14:textId="6DD3A636" w:rsidR="007027BB" w:rsidRPr="007D452A" w:rsidRDefault="00591820" w:rsidP="00904D6D">
      <w:pPr>
        <w:ind w:firstLine="720"/>
        <w:jc w:val="both"/>
        <w:rPr>
          <w:lang w:val="en-ID"/>
        </w:rPr>
      </w:pPr>
      <w:r w:rsidRPr="00591820">
        <w:rPr>
          <w:lang w:val="en-ID"/>
        </w:rPr>
        <w:t xml:space="preserve">Adolescents are an age group who need reproductive health information from various sources, one of which is parents. Parents are expected to provide comprehensive reproductive health information, but parents are still hesitant because of the public perception that reproductive health information is taboo information. It takes considerable confidence from parents that they are able to convey reproductive health information to their teenage children. Support from partners is also needed to jointly provide reproductive health information to adolescents. Lack of providing reproductive health information to parents resulted in parents not knowing the material on adolescent reproductive health. This is the reason why parents are not confident in providing </w:t>
      </w:r>
      <w:r w:rsidRPr="00591820">
        <w:rPr>
          <w:lang w:val="en-ID"/>
        </w:rPr>
        <w:lastRenderedPageBreak/>
        <w:t>reproductive health information to adolescents. Efforts are needed to provide assistance and training to parents on topics of reproductive health and sexuality given to adolescents</w:t>
      </w:r>
      <w:r w:rsidR="00F776DC">
        <w:rPr>
          <w:lang w:val="en-ID"/>
        </w:rPr>
        <w:t xml:space="preserve">. </w:t>
      </w:r>
    </w:p>
    <w:p w14:paraId="09949133" w14:textId="77777777" w:rsidR="0088233C" w:rsidRDefault="0088233C" w:rsidP="00904D6D">
      <w:pPr>
        <w:rPr>
          <w:b/>
          <w:bCs/>
        </w:rPr>
      </w:pPr>
    </w:p>
    <w:p w14:paraId="59242541" w14:textId="77777777" w:rsidR="007E6842" w:rsidRDefault="007E6842" w:rsidP="00904D6D">
      <w:pPr>
        <w:rPr>
          <w:b/>
          <w:bCs/>
        </w:rPr>
      </w:pPr>
    </w:p>
    <w:p w14:paraId="5AB620FD" w14:textId="1A28CD9C" w:rsidR="00EE7C89" w:rsidRPr="00EE7C89" w:rsidRDefault="00F33C08" w:rsidP="00904D6D">
      <w:pPr>
        <w:rPr>
          <w:rStyle w:val="apple-style-span"/>
          <w:b/>
          <w:color w:val="000000"/>
          <w:lang w:val="pt-BR"/>
        </w:rPr>
      </w:pPr>
      <w:r w:rsidRPr="00EE7C89">
        <w:rPr>
          <w:rStyle w:val="apple-style-span"/>
          <w:b/>
          <w:color w:val="000000"/>
          <w:lang w:val="pt-BR"/>
        </w:rPr>
        <w:t>ACKNOWLEDGEMENTS</w:t>
      </w:r>
      <w:r>
        <w:rPr>
          <w:rStyle w:val="apple-style-span"/>
          <w:b/>
          <w:color w:val="000000"/>
          <w:lang w:val="pt-BR"/>
        </w:rPr>
        <w:t xml:space="preserve"> </w:t>
      </w:r>
    </w:p>
    <w:p w14:paraId="18A0BB15" w14:textId="60A44A13" w:rsidR="00EA127F" w:rsidRPr="00591820" w:rsidRDefault="00591820" w:rsidP="003E287B">
      <w:pPr>
        <w:jc w:val="both"/>
      </w:pPr>
      <w:r w:rsidRPr="00591820">
        <w:t>The researcher would like to thank the Universit</w:t>
      </w:r>
      <w:r>
        <w:t xml:space="preserve">as </w:t>
      </w:r>
      <w:r w:rsidRPr="00591820">
        <w:t>Muhammadiyah Surakarta which has provided research funds and to the parents of teenagers in Surakarta who have been willing to be respondents in this study.</w:t>
      </w:r>
    </w:p>
    <w:p w14:paraId="6935D537" w14:textId="77777777" w:rsidR="007E6842" w:rsidRPr="00EE7C89" w:rsidRDefault="007E6842" w:rsidP="00904D6D">
      <w:pPr>
        <w:rPr>
          <w:b/>
          <w:bCs/>
        </w:rPr>
      </w:pPr>
    </w:p>
    <w:p w14:paraId="4451222A" w14:textId="78CE327E" w:rsidR="00F81ABB" w:rsidRPr="007A3181" w:rsidRDefault="00F33C08" w:rsidP="007A3181">
      <w:pPr>
        <w:rPr>
          <w:color w:val="000000"/>
          <w:lang w:val="pt-BR"/>
        </w:rPr>
      </w:pPr>
      <w:r w:rsidRPr="003D5B84">
        <w:rPr>
          <w:rStyle w:val="apple-style-span"/>
          <w:b/>
          <w:color w:val="000000"/>
          <w:lang w:val="pt-BR"/>
        </w:rPr>
        <w:t>REFERENCES</w:t>
      </w:r>
      <w:r>
        <w:rPr>
          <w:rStyle w:val="apple-style-span"/>
          <w:b/>
          <w:color w:val="000000"/>
          <w:lang w:val="pt-BR"/>
        </w:rPr>
        <w:t xml:space="preserve"> </w:t>
      </w:r>
    </w:p>
    <w:p w14:paraId="0647302A" w14:textId="4FADB8F5" w:rsidR="00542D39" w:rsidRPr="00542D39" w:rsidRDefault="00E30FA5" w:rsidP="00542D39">
      <w:pPr>
        <w:widowControl w:val="0"/>
        <w:autoSpaceDE w:val="0"/>
        <w:autoSpaceDN w:val="0"/>
        <w:adjustRightInd w:val="0"/>
        <w:ind w:left="640" w:hanging="640"/>
        <w:rPr>
          <w:noProof/>
          <w:szCs w:val="24"/>
        </w:rPr>
      </w:pPr>
      <w:r>
        <w:rPr>
          <w:lang w:val="id-ID"/>
        </w:rPr>
        <w:fldChar w:fldCharType="begin" w:fldLock="1"/>
      </w:r>
      <w:r>
        <w:rPr>
          <w:lang w:val="id-ID"/>
        </w:rPr>
        <w:instrText xml:space="preserve">ADDIN Mendeley Bibliography CSL_BIBLIOGRAPHY </w:instrText>
      </w:r>
      <w:r>
        <w:rPr>
          <w:lang w:val="id-ID"/>
        </w:rPr>
        <w:fldChar w:fldCharType="separate"/>
      </w:r>
      <w:r w:rsidR="00542D39" w:rsidRPr="00542D39">
        <w:rPr>
          <w:noProof/>
          <w:szCs w:val="24"/>
        </w:rPr>
        <w:t>[1]</w:t>
      </w:r>
      <w:r w:rsidR="00542D39" w:rsidRPr="00542D39">
        <w:rPr>
          <w:noProof/>
          <w:szCs w:val="24"/>
        </w:rPr>
        <w:tab/>
        <w:t xml:space="preserve">WHO, “Adolescent Health: The missing population in Universal Health Coverage,” </w:t>
      </w:r>
      <w:r w:rsidR="00542D39" w:rsidRPr="00542D39">
        <w:rPr>
          <w:i/>
          <w:iCs/>
          <w:noProof/>
          <w:szCs w:val="24"/>
        </w:rPr>
        <w:t>Www.Who.Int</w:t>
      </w:r>
      <w:r w:rsidR="00542D39" w:rsidRPr="00542D39">
        <w:rPr>
          <w:noProof/>
          <w:szCs w:val="24"/>
        </w:rPr>
        <w:t>, pp. 1–32, 2018.</w:t>
      </w:r>
    </w:p>
    <w:p w14:paraId="740F6CEF" w14:textId="77777777" w:rsidR="00542D39" w:rsidRPr="00542D39" w:rsidRDefault="00542D39" w:rsidP="00542D39">
      <w:pPr>
        <w:widowControl w:val="0"/>
        <w:autoSpaceDE w:val="0"/>
        <w:autoSpaceDN w:val="0"/>
        <w:adjustRightInd w:val="0"/>
        <w:ind w:left="640" w:hanging="640"/>
        <w:rPr>
          <w:noProof/>
          <w:szCs w:val="24"/>
        </w:rPr>
      </w:pPr>
      <w:r w:rsidRPr="00542D39">
        <w:rPr>
          <w:noProof/>
          <w:szCs w:val="24"/>
        </w:rPr>
        <w:t>[2]</w:t>
      </w:r>
      <w:r w:rsidRPr="00542D39">
        <w:rPr>
          <w:noProof/>
          <w:szCs w:val="24"/>
        </w:rPr>
        <w:tab/>
        <w:t xml:space="preserve">WHO, </w:t>
      </w:r>
      <w:r w:rsidRPr="00542D39">
        <w:rPr>
          <w:i/>
          <w:iCs/>
          <w:noProof/>
          <w:szCs w:val="24"/>
        </w:rPr>
        <w:t>WHO recommendations on adolescent sexual and reproductive health and rights</w:t>
      </w:r>
      <w:r w:rsidRPr="00542D39">
        <w:rPr>
          <w:noProof/>
          <w:szCs w:val="24"/>
        </w:rPr>
        <w:t>. 2018.</w:t>
      </w:r>
    </w:p>
    <w:p w14:paraId="0ED2F713" w14:textId="77777777" w:rsidR="00542D39" w:rsidRPr="00542D39" w:rsidRDefault="00542D39" w:rsidP="00542D39">
      <w:pPr>
        <w:widowControl w:val="0"/>
        <w:autoSpaceDE w:val="0"/>
        <w:autoSpaceDN w:val="0"/>
        <w:adjustRightInd w:val="0"/>
        <w:ind w:left="640" w:hanging="640"/>
        <w:rPr>
          <w:noProof/>
          <w:szCs w:val="24"/>
        </w:rPr>
      </w:pPr>
      <w:r w:rsidRPr="00542D39">
        <w:rPr>
          <w:noProof/>
          <w:szCs w:val="24"/>
        </w:rPr>
        <w:t>[3]</w:t>
      </w:r>
      <w:r w:rsidRPr="00542D39">
        <w:rPr>
          <w:noProof/>
          <w:szCs w:val="24"/>
        </w:rPr>
        <w:tab/>
        <w:t xml:space="preserve">KEMENKES RI, “Infodatin HIV AIDS,” </w:t>
      </w:r>
      <w:r w:rsidRPr="00542D39">
        <w:rPr>
          <w:i/>
          <w:iCs/>
          <w:noProof/>
          <w:szCs w:val="24"/>
        </w:rPr>
        <w:t>Kesehatan</w:t>
      </w:r>
      <w:r w:rsidRPr="00542D39">
        <w:rPr>
          <w:noProof/>
          <w:szCs w:val="24"/>
        </w:rPr>
        <w:t>, pp. 1–8, 2020, [Online]. Available: http://www.depkes.go.id/resources/download/pusdatin/infodatin/Infodatin AIDS.pdf.</w:t>
      </w:r>
    </w:p>
    <w:p w14:paraId="4E5D5D42" w14:textId="77777777" w:rsidR="00542D39" w:rsidRPr="00542D39" w:rsidRDefault="00542D39" w:rsidP="00542D39">
      <w:pPr>
        <w:widowControl w:val="0"/>
        <w:autoSpaceDE w:val="0"/>
        <w:autoSpaceDN w:val="0"/>
        <w:adjustRightInd w:val="0"/>
        <w:ind w:left="640" w:hanging="640"/>
        <w:rPr>
          <w:noProof/>
          <w:szCs w:val="24"/>
        </w:rPr>
      </w:pPr>
      <w:r w:rsidRPr="00542D39">
        <w:rPr>
          <w:noProof/>
          <w:szCs w:val="24"/>
        </w:rPr>
        <w:t>[4]</w:t>
      </w:r>
      <w:r w:rsidRPr="00542D39">
        <w:rPr>
          <w:noProof/>
          <w:szCs w:val="24"/>
        </w:rPr>
        <w:tab/>
        <w:t>Dinas Kesehatan Kota Surakarta, “Profil Kesehatan Kota Surakarta Tahun 2018,” 2019.</w:t>
      </w:r>
    </w:p>
    <w:p w14:paraId="6ECF8025" w14:textId="77777777" w:rsidR="00542D39" w:rsidRPr="00542D39" w:rsidRDefault="00542D39" w:rsidP="00542D39">
      <w:pPr>
        <w:widowControl w:val="0"/>
        <w:autoSpaceDE w:val="0"/>
        <w:autoSpaceDN w:val="0"/>
        <w:adjustRightInd w:val="0"/>
        <w:ind w:left="640" w:hanging="640"/>
        <w:rPr>
          <w:noProof/>
          <w:szCs w:val="24"/>
        </w:rPr>
      </w:pPr>
      <w:r w:rsidRPr="00542D39">
        <w:rPr>
          <w:noProof/>
          <w:szCs w:val="24"/>
        </w:rPr>
        <w:t>[5]</w:t>
      </w:r>
      <w:r w:rsidRPr="00542D39">
        <w:rPr>
          <w:noProof/>
          <w:szCs w:val="24"/>
        </w:rPr>
        <w:tab/>
        <w:t>Dinas Kesehatan Kota Surakarta, “Profil Kesehatan Kota Surakarta,” 2020.</w:t>
      </w:r>
    </w:p>
    <w:p w14:paraId="2973FD1C" w14:textId="77777777" w:rsidR="00542D39" w:rsidRPr="00542D39" w:rsidRDefault="00542D39" w:rsidP="00542D39">
      <w:pPr>
        <w:widowControl w:val="0"/>
        <w:autoSpaceDE w:val="0"/>
        <w:autoSpaceDN w:val="0"/>
        <w:adjustRightInd w:val="0"/>
        <w:ind w:left="640" w:hanging="640"/>
        <w:rPr>
          <w:noProof/>
          <w:szCs w:val="24"/>
        </w:rPr>
      </w:pPr>
      <w:r w:rsidRPr="00542D39">
        <w:rPr>
          <w:noProof/>
          <w:szCs w:val="24"/>
        </w:rPr>
        <w:t>[6]</w:t>
      </w:r>
      <w:r w:rsidRPr="00542D39">
        <w:rPr>
          <w:noProof/>
          <w:szCs w:val="24"/>
        </w:rPr>
        <w:tab/>
        <w:t xml:space="preserve">P. Idele </w:t>
      </w:r>
      <w:r w:rsidRPr="00542D39">
        <w:rPr>
          <w:i/>
          <w:iCs/>
          <w:noProof/>
          <w:szCs w:val="24"/>
        </w:rPr>
        <w:t>et al.</w:t>
      </w:r>
      <w:r w:rsidRPr="00542D39">
        <w:rPr>
          <w:noProof/>
          <w:szCs w:val="24"/>
        </w:rPr>
        <w:t xml:space="preserve">, “Epidemiology of HIV and AIDS among adolescents: Current status, inequities, and data gaps,” </w:t>
      </w:r>
      <w:r w:rsidRPr="00542D39">
        <w:rPr>
          <w:i/>
          <w:iCs/>
          <w:noProof/>
          <w:szCs w:val="24"/>
        </w:rPr>
        <w:t>J. Acquir. Immune Defic. Syndr.</w:t>
      </w:r>
      <w:r w:rsidRPr="00542D39">
        <w:rPr>
          <w:noProof/>
          <w:szCs w:val="24"/>
        </w:rPr>
        <w:t>, vol. 66, no. SUPPL. 2, 2014, doi: 10.1097/QAI.0000000000000176.</w:t>
      </w:r>
    </w:p>
    <w:p w14:paraId="61C1E3C7" w14:textId="77777777" w:rsidR="00542D39" w:rsidRPr="00542D39" w:rsidRDefault="00542D39" w:rsidP="00542D39">
      <w:pPr>
        <w:widowControl w:val="0"/>
        <w:autoSpaceDE w:val="0"/>
        <w:autoSpaceDN w:val="0"/>
        <w:adjustRightInd w:val="0"/>
        <w:ind w:left="640" w:hanging="640"/>
        <w:rPr>
          <w:noProof/>
          <w:szCs w:val="24"/>
        </w:rPr>
      </w:pPr>
      <w:r w:rsidRPr="00542D39">
        <w:rPr>
          <w:noProof/>
          <w:szCs w:val="24"/>
        </w:rPr>
        <w:t>[7]</w:t>
      </w:r>
      <w:r w:rsidRPr="00542D39">
        <w:rPr>
          <w:noProof/>
          <w:szCs w:val="24"/>
        </w:rPr>
        <w:tab/>
        <w:t xml:space="preserve">Pusat Data dan Informasi Kementerian Kesehatan RI, “Situasi Kesehatan Reproduksi Remaja,” </w:t>
      </w:r>
      <w:r w:rsidRPr="00542D39">
        <w:rPr>
          <w:i/>
          <w:iCs/>
          <w:noProof/>
          <w:szCs w:val="24"/>
        </w:rPr>
        <w:t>Situasi Kesehatan Reproduksi Remaja</w:t>
      </w:r>
      <w:r w:rsidRPr="00542D39">
        <w:rPr>
          <w:noProof/>
          <w:szCs w:val="24"/>
        </w:rPr>
        <w:t>. p. 1, 2017.</w:t>
      </w:r>
    </w:p>
    <w:p w14:paraId="664C2381" w14:textId="77777777" w:rsidR="00542D39" w:rsidRPr="00542D39" w:rsidRDefault="00542D39" w:rsidP="00542D39">
      <w:pPr>
        <w:widowControl w:val="0"/>
        <w:autoSpaceDE w:val="0"/>
        <w:autoSpaceDN w:val="0"/>
        <w:adjustRightInd w:val="0"/>
        <w:ind w:left="640" w:hanging="640"/>
        <w:rPr>
          <w:noProof/>
          <w:szCs w:val="24"/>
        </w:rPr>
      </w:pPr>
      <w:r w:rsidRPr="00542D39">
        <w:rPr>
          <w:noProof/>
          <w:szCs w:val="24"/>
        </w:rPr>
        <w:t>[8]</w:t>
      </w:r>
      <w:r w:rsidRPr="00542D39">
        <w:rPr>
          <w:noProof/>
          <w:szCs w:val="24"/>
        </w:rPr>
        <w:tab/>
        <w:t xml:space="preserve">J. L. Morris and H. Rushwan, “Adolescent sexual and reproductive health: The global challenges,” </w:t>
      </w:r>
      <w:r w:rsidRPr="00542D39">
        <w:rPr>
          <w:i/>
          <w:iCs/>
          <w:noProof/>
          <w:szCs w:val="24"/>
        </w:rPr>
        <w:t>Int. J. Gynecol. Obstet.</w:t>
      </w:r>
      <w:r w:rsidRPr="00542D39">
        <w:rPr>
          <w:noProof/>
          <w:szCs w:val="24"/>
        </w:rPr>
        <w:t>, vol. 131, pp. S40–S42, 2015, doi: 10.1016/j.ijgo.2015.02.006.</w:t>
      </w:r>
    </w:p>
    <w:p w14:paraId="11FB0061" w14:textId="77777777" w:rsidR="00542D39" w:rsidRPr="00542D39" w:rsidRDefault="00542D39" w:rsidP="00542D39">
      <w:pPr>
        <w:widowControl w:val="0"/>
        <w:autoSpaceDE w:val="0"/>
        <w:autoSpaceDN w:val="0"/>
        <w:adjustRightInd w:val="0"/>
        <w:ind w:left="640" w:hanging="640"/>
        <w:rPr>
          <w:noProof/>
          <w:szCs w:val="24"/>
        </w:rPr>
      </w:pPr>
      <w:r w:rsidRPr="00542D39">
        <w:rPr>
          <w:noProof/>
          <w:szCs w:val="24"/>
        </w:rPr>
        <w:t>[9]</w:t>
      </w:r>
      <w:r w:rsidRPr="00542D39">
        <w:rPr>
          <w:noProof/>
          <w:szCs w:val="24"/>
        </w:rPr>
        <w:tab/>
        <w:t xml:space="preserve">Y. T. N. Oo, K. K. Zaw, K. K. Than, T. M. Mg, K. K. Mar, and S. S. Aye, “Do parents and adolescents talk about reproductive health? Myanmar adolescents’ perspective,” </w:t>
      </w:r>
      <w:r w:rsidRPr="00542D39">
        <w:rPr>
          <w:i/>
          <w:iCs/>
          <w:noProof/>
          <w:szCs w:val="24"/>
        </w:rPr>
        <w:t>South East Asia J. Public Heal.</w:t>
      </w:r>
      <w:r w:rsidRPr="00542D39">
        <w:rPr>
          <w:noProof/>
          <w:szCs w:val="24"/>
        </w:rPr>
        <w:t>, vol. 1, no. 1, pp. 40–45, 2013, doi: 10.3329/seajph.v1i1.13219.</w:t>
      </w:r>
    </w:p>
    <w:p w14:paraId="654A4E05" w14:textId="77777777" w:rsidR="00542D39" w:rsidRPr="00542D39" w:rsidRDefault="00542D39" w:rsidP="00542D39">
      <w:pPr>
        <w:widowControl w:val="0"/>
        <w:autoSpaceDE w:val="0"/>
        <w:autoSpaceDN w:val="0"/>
        <w:adjustRightInd w:val="0"/>
        <w:ind w:left="640" w:hanging="640"/>
        <w:rPr>
          <w:noProof/>
          <w:szCs w:val="24"/>
        </w:rPr>
      </w:pPr>
      <w:r w:rsidRPr="00542D39">
        <w:rPr>
          <w:noProof/>
          <w:szCs w:val="24"/>
        </w:rPr>
        <w:t>[10]</w:t>
      </w:r>
      <w:r w:rsidRPr="00542D39">
        <w:rPr>
          <w:noProof/>
          <w:szCs w:val="24"/>
        </w:rPr>
        <w:tab/>
        <w:t xml:space="preserve">T. A. I. Kusumaningrum, N. Rohmawaty, and H. Selena, “Reproductive Health Information from Parents : A Dominant Factor of Voluntary Counselling and Testing ( VCT ) HIV Intention on Adolescents,” </w:t>
      </w:r>
      <w:r w:rsidRPr="00542D39">
        <w:rPr>
          <w:i/>
          <w:iCs/>
          <w:noProof/>
          <w:szCs w:val="24"/>
        </w:rPr>
        <w:t>J. Med. Chem. Sci.</w:t>
      </w:r>
      <w:r w:rsidRPr="00542D39">
        <w:rPr>
          <w:noProof/>
          <w:szCs w:val="24"/>
        </w:rPr>
        <w:t>, vol. 4, pp. 172–182, 2021, doi: 10.26655/JMCHEMSCI.2021.2.8.</w:t>
      </w:r>
    </w:p>
    <w:p w14:paraId="6EA00C47" w14:textId="77777777" w:rsidR="00542D39" w:rsidRPr="00542D39" w:rsidRDefault="00542D39" w:rsidP="00542D39">
      <w:pPr>
        <w:widowControl w:val="0"/>
        <w:autoSpaceDE w:val="0"/>
        <w:autoSpaceDN w:val="0"/>
        <w:adjustRightInd w:val="0"/>
        <w:ind w:left="640" w:hanging="640"/>
        <w:rPr>
          <w:noProof/>
          <w:szCs w:val="24"/>
        </w:rPr>
      </w:pPr>
      <w:r w:rsidRPr="00542D39">
        <w:rPr>
          <w:noProof/>
          <w:szCs w:val="24"/>
        </w:rPr>
        <w:t>[11]</w:t>
      </w:r>
      <w:r w:rsidRPr="00542D39">
        <w:rPr>
          <w:noProof/>
          <w:szCs w:val="24"/>
        </w:rPr>
        <w:tab/>
        <w:t xml:space="preserve">L. Widman, R. Evans, H. Javidi, and S. Choukas-Bradley, “Assessment of Parent-Based Interventions for Adolescent Sexual Health: A Systematic Review and Meta-analysis,” </w:t>
      </w:r>
      <w:r w:rsidRPr="00542D39">
        <w:rPr>
          <w:i/>
          <w:iCs/>
          <w:noProof/>
          <w:szCs w:val="24"/>
        </w:rPr>
        <w:t>JAMA Pediatr.</w:t>
      </w:r>
      <w:r w:rsidRPr="00542D39">
        <w:rPr>
          <w:noProof/>
          <w:szCs w:val="24"/>
        </w:rPr>
        <w:t>, vol. 173, no. 9, pp. 866–877, 2019, doi: 10.1001/jamapediatrics.2019.2324.</w:t>
      </w:r>
    </w:p>
    <w:p w14:paraId="0D03E04E" w14:textId="77777777" w:rsidR="00542D39" w:rsidRPr="00542D39" w:rsidRDefault="00542D39" w:rsidP="00542D39">
      <w:pPr>
        <w:widowControl w:val="0"/>
        <w:autoSpaceDE w:val="0"/>
        <w:autoSpaceDN w:val="0"/>
        <w:adjustRightInd w:val="0"/>
        <w:ind w:left="640" w:hanging="640"/>
        <w:rPr>
          <w:noProof/>
          <w:szCs w:val="24"/>
        </w:rPr>
      </w:pPr>
      <w:r w:rsidRPr="00542D39">
        <w:rPr>
          <w:noProof/>
          <w:szCs w:val="24"/>
        </w:rPr>
        <w:t>[12]</w:t>
      </w:r>
      <w:r w:rsidRPr="00542D39">
        <w:rPr>
          <w:noProof/>
          <w:szCs w:val="24"/>
        </w:rPr>
        <w:tab/>
        <w:t xml:space="preserve">D. K. Cahyaningtyas, A. W. Astuti, and U. Hani, “Parents involvement and barriers of programme interventions to reduce adolescent pregnancy,” </w:t>
      </w:r>
      <w:r w:rsidRPr="00542D39">
        <w:rPr>
          <w:i/>
          <w:iCs/>
          <w:noProof/>
          <w:szCs w:val="24"/>
        </w:rPr>
        <w:t>J. Heal. Technol. Assess. Midwifery</w:t>
      </w:r>
      <w:r w:rsidRPr="00542D39">
        <w:rPr>
          <w:noProof/>
          <w:szCs w:val="24"/>
        </w:rPr>
        <w:t>, vol. 3, no. 2, pp. 73–86, 2020, doi: 10.31101/jhtam.1312.</w:t>
      </w:r>
    </w:p>
    <w:p w14:paraId="68C0C203" w14:textId="77777777" w:rsidR="00542D39" w:rsidRPr="00542D39" w:rsidRDefault="00542D39" w:rsidP="00542D39">
      <w:pPr>
        <w:widowControl w:val="0"/>
        <w:autoSpaceDE w:val="0"/>
        <w:autoSpaceDN w:val="0"/>
        <w:adjustRightInd w:val="0"/>
        <w:ind w:left="640" w:hanging="640"/>
        <w:rPr>
          <w:noProof/>
          <w:szCs w:val="24"/>
        </w:rPr>
      </w:pPr>
      <w:r w:rsidRPr="00542D39">
        <w:rPr>
          <w:noProof/>
          <w:szCs w:val="24"/>
        </w:rPr>
        <w:t>[13]</w:t>
      </w:r>
      <w:r w:rsidRPr="00542D39">
        <w:rPr>
          <w:noProof/>
          <w:szCs w:val="24"/>
        </w:rPr>
        <w:tab/>
        <w:t xml:space="preserve">P. I. G. Sagnia, E. P. Gharoro, and A. R. Isara, “Adolescent-parent communication on sexual and reproductive health issues amongst secondary school students in Western Region 1 of The Gambia,” </w:t>
      </w:r>
      <w:r w:rsidRPr="00542D39">
        <w:rPr>
          <w:i/>
          <w:iCs/>
          <w:noProof/>
          <w:szCs w:val="24"/>
        </w:rPr>
        <w:t>African J. Prim. Heal. care Fam. Med.</w:t>
      </w:r>
      <w:r w:rsidRPr="00542D39">
        <w:rPr>
          <w:noProof/>
          <w:szCs w:val="24"/>
        </w:rPr>
        <w:t>, vol. 12, no. 1, pp. 1–7, 2020, doi: 10.4102/phcfm.v12i1.2437.</w:t>
      </w:r>
    </w:p>
    <w:p w14:paraId="45DFD757" w14:textId="77777777" w:rsidR="00542D39" w:rsidRPr="00542D39" w:rsidRDefault="00542D39" w:rsidP="00542D39">
      <w:pPr>
        <w:widowControl w:val="0"/>
        <w:autoSpaceDE w:val="0"/>
        <w:autoSpaceDN w:val="0"/>
        <w:adjustRightInd w:val="0"/>
        <w:ind w:left="640" w:hanging="640"/>
        <w:rPr>
          <w:noProof/>
          <w:szCs w:val="24"/>
        </w:rPr>
      </w:pPr>
      <w:r w:rsidRPr="00542D39">
        <w:rPr>
          <w:noProof/>
          <w:szCs w:val="24"/>
        </w:rPr>
        <w:t>[14]</w:t>
      </w:r>
      <w:r w:rsidRPr="00542D39">
        <w:rPr>
          <w:noProof/>
          <w:szCs w:val="24"/>
        </w:rPr>
        <w:tab/>
        <w:t xml:space="preserve">A. Febriana and S. Mulyono, “Parent-Adolescent Communication On Reproductive Health and Sexual Of Adolescent,” </w:t>
      </w:r>
      <w:r w:rsidRPr="00542D39">
        <w:rPr>
          <w:i/>
          <w:iCs/>
          <w:noProof/>
          <w:szCs w:val="24"/>
        </w:rPr>
        <w:t>J. Keperawatan</w:t>
      </w:r>
      <w:r w:rsidRPr="00542D39">
        <w:rPr>
          <w:noProof/>
          <w:szCs w:val="24"/>
        </w:rPr>
        <w:t>, vol. 10, no. 2, pp. 81–85, 2020, doi: 10.22219/jk.v10i2.8063.</w:t>
      </w:r>
    </w:p>
    <w:p w14:paraId="3754EDD0" w14:textId="77777777" w:rsidR="00542D39" w:rsidRPr="00542D39" w:rsidRDefault="00542D39" w:rsidP="00542D39">
      <w:pPr>
        <w:widowControl w:val="0"/>
        <w:autoSpaceDE w:val="0"/>
        <w:autoSpaceDN w:val="0"/>
        <w:adjustRightInd w:val="0"/>
        <w:ind w:left="640" w:hanging="640"/>
        <w:rPr>
          <w:noProof/>
          <w:szCs w:val="24"/>
        </w:rPr>
      </w:pPr>
      <w:r w:rsidRPr="00542D39">
        <w:rPr>
          <w:noProof/>
          <w:szCs w:val="24"/>
        </w:rPr>
        <w:t>[15]</w:t>
      </w:r>
      <w:r w:rsidRPr="00542D39">
        <w:rPr>
          <w:noProof/>
          <w:szCs w:val="24"/>
        </w:rPr>
        <w:tab/>
        <w:t xml:space="preserve">A. Othman </w:t>
      </w:r>
      <w:r w:rsidRPr="00542D39">
        <w:rPr>
          <w:i/>
          <w:iCs/>
          <w:noProof/>
          <w:szCs w:val="24"/>
        </w:rPr>
        <w:t>et al.</w:t>
      </w:r>
      <w:r w:rsidRPr="00542D39">
        <w:rPr>
          <w:noProof/>
          <w:szCs w:val="24"/>
        </w:rPr>
        <w:t xml:space="preserve">, “Parent–child communication about sexual and reproductive health: perspectives of Jordanian and Syrian parents,” </w:t>
      </w:r>
      <w:r w:rsidRPr="00542D39">
        <w:rPr>
          <w:i/>
          <w:iCs/>
          <w:noProof/>
          <w:szCs w:val="24"/>
        </w:rPr>
        <w:t>Sex. Reprod. Heal. Matters</w:t>
      </w:r>
      <w:r w:rsidRPr="00542D39">
        <w:rPr>
          <w:noProof/>
          <w:szCs w:val="24"/>
        </w:rPr>
        <w:t>, vol. 28, no. 1, 2020, doi: 10.1080/26410397.2020.1758444.</w:t>
      </w:r>
    </w:p>
    <w:p w14:paraId="503409CC" w14:textId="77777777" w:rsidR="00542D39" w:rsidRPr="00542D39" w:rsidRDefault="00542D39" w:rsidP="00542D39">
      <w:pPr>
        <w:widowControl w:val="0"/>
        <w:autoSpaceDE w:val="0"/>
        <w:autoSpaceDN w:val="0"/>
        <w:adjustRightInd w:val="0"/>
        <w:ind w:left="640" w:hanging="640"/>
        <w:rPr>
          <w:noProof/>
          <w:szCs w:val="24"/>
        </w:rPr>
      </w:pPr>
      <w:r w:rsidRPr="00542D39">
        <w:rPr>
          <w:noProof/>
          <w:szCs w:val="24"/>
        </w:rPr>
        <w:t>[16]</w:t>
      </w:r>
      <w:r w:rsidRPr="00542D39">
        <w:rPr>
          <w:noProof/>
          <w:szCs w:val="24"/>
        </w:rPr>
        <w:tab/>
        <w:t xml:space="preserve">K. Motsomi, C. Makanjee, T. Basera, and P. Nyasulu, “Factors affecting effective communication about sexual and reproductive health issues between parents and adolescents in zandspruit informal settlement, Johannesburg, South Africa,” </w:t>
      </w:r>
      <w:r w:rsidRPr="00542D39">
        <w:rPr>
          <w:i/>
          <w:iCs/>
          <w:noProof/>
          <w:szCs w:val="24"/>
        </w:rPr>
        <w:t>Pan Afr. Med. J.</w:t>
      </w:r>
      <w:r w:rsidRPr="00542D39">
        <w:rPr>
          <w:noProof/>
          <w:szCs w:val="24"/>
        </w:rPr>
        <w:t>, vol. 25, pp. 1–7, 2016, doi: 10.11604/pamj.2016.25.120.9208.</w:t>
      </w:r>
    </w:p>
    <w:p w14:paraId="7768AAA7" w14:textId="77777777" w:rsidR="00542D39" w:rsidRPr="00542D39" w:rsidRDefault="00542D39" w:rsidP="00542D39">
      <w:pPr>
        <w:widowControl w:val="0"/>
        <w:autoSpaceDE w:val="0"/>
        <w:autoSpaceDN w:val="0"/>
        <w:adjustRightInd w:val="0"/>
        <w:ind w:left="640" w:hanging="640"/>
        <w:rPr>
          <w:noProof/>
          <w:szCs w:val="24"/>
        </w:rPr>
      </w:pPr>
      <w:r w:rsidRPr="00542D39">
        <w:rPr>
          <w:noProof/>
          <w:szCs w:val="24"/>
        </w:rPr>
        <w:t>[17]</w:t>
      </w:r>
      <w:r w:rsidRPr="00542D39">
        <w:rPr>
          <w:noProof/>
          <w:szCs w:val="24"/>
        </w:rPr>
        <w:tab/>
        <w:t xml:space="preserve">S. Thongmixay, D. R. Essink, T. de Greeuw, V. Vongxay, V. Sychareun, and J. E. W. Broerse, “Perceived Barriers in Accessing Sexual and Reproductive Health Services for Youth in Lao People’s Democratic Republic,” </w:t>
      </w:r>
      <w:r w:rsidRPr="00542D39">
        <w:rPr>
          <w:i/>
          <w:iCs/>
          <w:noProof/>
          <w:szCs w:val="24"/>
        </w:rPr>
        <w:t>PLoS One</w:t>
      </w:r>
      <w:r w:rsidRPr="00542D39">
        <w:rPr>
          <w:noProof/>
          <w:szCs w:val="24"/>
        </w:rPr>
        <w:t>, vol. 14, no. 10, pp. 1–16, 2019, doi: 10.1101/656843.</w:t>
      </w:r>
    </w:p>
    <w:p w14:paraId="0567B6D1" w14:textId="77777777" w:rsidR="00542D39" w:rsidRPr="00542D39" w:rsidRDefault="00542D39" w:rsidP="00542D39">
      <w:pPr>
        <w:widowControl w:val="0"/>
        <w:autoSpaceDE w:val="0"/>
        <w:autoSpaceDN w:val="0"/>
        <w:adjustRightInd w:val="0"/>
        <w:ind w:left="640" w:hanging="640"/>
        <w:rPr>
          <w:noProof/>
          <w:szCs w:val="24"/>
        </w:rPr>
      </w:pPr>
      <w:r w:rsidRPr="00542D39">
        <w:rPr>
          <w:noProof/>
          <w:szCs w:val="24"/>
        </w:rPr>
        <w:t>[18]</w:t>
      </w:r>
      <w:r w:rsidRPr="00542D39">
        <w:rPr>
          <w:noProof/>
          <w:szCs w:val="24"/>
        </w:rPr>
        <w:tab/>
        <w:t xml:space="preserve">M. T. Nu Noe </w:t>
      </w:r>
      <w:r w:rsidRPr="00542D39">
        <w:rPr>
          <w:i/>
          <w:iCs/>
          <w:noProof/>
          <w:szCs w:val="24"/>
        </w:rPr>
        <w:t>et al.</w:t>
      </w:r>
      <w:r w:rsidRPr="00542D39">
        <w:rPr>
          <w:noProof/>
          <w:szCs w:val="24"/>
        </w:rPr>
        <w:t xml:space="preserve">, “Barriers between mothers and their adolescent daughters with regards to sexual and reproductive health communication in Taunggyi Township, Myanmar: What factors play important roles?,” </w:t>
      </w:r>
      <w:r w:rsidRPr="00542D39">
        <w:rPr>
          <w:i/>
          <w:iCs/>
          <w:noProof/>
          <w:szCs w:val="24"/>
        </w:rPr>
        <w:t>PLoS One</w:t>
      </w:r>
      <w:r w:rsidRPr="00542D39">
        <w:rPr>
          <w:noProof/>
          <w:szCs w:val="24"/>
        </w:rPr>
        <w:t>, vol. 13, no. 12, pp. 1–16, 2018, doi: 10.1371/journal.pone.0208849.</w:t>
      </w:r>
    </w:p>
    <w:p w14:paraId="76DD23FF" w14:textId="77777777" w:rsidR="00542D39" w:rsidRPr="00542D39" w:rsidRDefault="00542D39" w:rsidP="00542D39">
      <w:pPr>
        <w:widowControl w:val="0"/>
        <w:autoSpaceDE w:val="0"/>
        <w:autoSpaceDN w:val="0"/>
        <w:adjustRightInd w:val="0"/>
        <w:ind w:left="640" w:hanging="640"/>
        <w:rPr>
          <w:noProof/>
          <w:szCs w:val="24"/>
        </w:rPr>
      </w:pPr>
      <w:r w:rsidRPr="00542D39">
        <w:rPr>
          <w:noProof/>
          <w:szCs w:val="24"/>
        </w:rPr>
        <w:t>[19]</w:t>
      </w:r>
      <w:r w:rsidRPr="00542D39">
        <w:rPr>
          <w:noProof/>
          <w:szCs w:val="24"/>
        </w:rPr>
        <w:tab/>
        <w:t xml:space="preserve">T. A. I. Kusumaningrum and B. A. Sholekhah, “Akses Informasi Mengenai HIV/AIDS pada Mahasiswa Universitas Muhammadiyah Surakarta,” in </w:t>
      </w:r>
      <w:r w:rsidRPr="00542D39">
        <w:rPr>
          <w:i/>
          <w:iCs/>
          <w:noProof/>
          <w:szCs w:val="24"/>
        </w:rPr>
        <w:t>Seminar nasional kesehatan masyarakat UMS</w:t>
      </w:r>
      <w:r w:rsidRPr="00542D39">
        <w:rPr>
          <w:noProof/>
          <w:szCs w:val="24"/>
        </w:rPr>
        <w:t>, 2019, pp. 73–85, [Online]. Available: https://publikasiilmiah.ums.ac.id/bitstream/handle/11617/11854/9.pdf?sequence=1&amp;isAllowed=y.</w:t>
      </w:r>
    </w:p>
    <w:p w14:paraId="1CBAF70F" w14:textId="77777777" w:rsidR="00542D39" w:rsidRPr="00542D39" w:rsidRDefault="00542D39" w:rsidP="00542D39">
      <w:pPr>
        <w:widowControl w:val="0"/>
        <w:autoSpaceDE w:val="0"/>
        <w:autoSpaceDN w:val="0"/>
        <w:adjustRightInd w:val="0"/>
        <w:ind w:left="640" w:hanging="640"/>
        <w:rPr>
          <w:noProof/>
          <w:szCs w:val="24"/>
        </w:rPr>
      </w:pPr>
      <w:r w:rsidRPr="00542D39">
        <w:rPr>
          <w:noProof/>
          <w:szCs w:val="24"/>
        </w:rPr>
        <w:t>[20]</w:t>
      </w:r>
      <w:r w:rsidRPr="00542D39">
        <w:rPr>
          <w:noProof/>
          <w:szCs w:val="24"/>
        </w:rPr>
        <w:tab/>
        <w:t xml:space="preserve">V. Chandra-Mouli, C. Lane, and S. Wong, “What does not work in adolescent sexual and </w:t>
      </w:r>
      <w:r w:rsidRPr="00542D39">
        <w:rPr>
          <w:noProof/>
          <w:szCs w:val="24"/>
        </w:rPr>
        <w:lastRenderedPageBreak/>
        <w:t xml:space="preserve">reproductive health: A review of evidence on interventions commonly accepted as best practices,” </w:t>
      </w:r>
      <w:r w:rsidRPr="00542D39">
        <w:rPr>
          <w:i/>
          <w:iCs/>
          <w:noProof/>
          <w:szCs w:val="24"/>
        </w:rPr>
        <w:t>Glob. Heal. Sci. Pract.</w:t>
      </w:r>
      <w:r w:rsidRPr="00542D39">
        <w:rPr>
          <w:noProof/>
          <w:szCs w:val="24"/>
        </w:rPr>
        <w:t>, vol. 3, no. 3, pp. 333–340, 2015, doi: 10.9745/GHSP-D-15-00126.</w:t>
      </w:r>
    </w:p>
    <w:p w14:paraId="4BA4B305" w14:textId="77777777" w:rsidR="00542D39" w:rsidRPr="00542D39" w:rsidRDefault="00542D39" w:rsidP="00542D39">
      <w:pPr>
        <w:widowControl w:val="0"/>
        <w:autoSpaceDE w:val="0"/>
        <w:autoSpaceDN w:val="0"/>
        <w:adjustRightInd w:val="0"/>
        <w:ind w:left="640" w:hanging="640"/>
        <w:rPr>
          <w:noProof/>
          <w:szCs w:val="24"/>
        </w:rPr>
      </w:pPr>
      <w:r w:rsidRPr="00542D39">
        <w:rPr>
          <w:noProof/>
          <w:szCs w:val="24"/>
        </w:rPr>
        <w:t>[21]</w:t>
      </w:r>
      <w:r w:rsidRPr="00542D39">
        <w:rPr>
          <w:noProof/>
          <w:szCs w:val="24"/>
        </w:rPr>
        <w:tab/>
        <w:t xml:space="preserve">G. Charness, A. Rustichini, and J. van de Ven, “Self-confidence and strategic behavior,” </w:t>
      </w:r>
      <w:r w:rsidRPr="00542D39">
        <w:rPr>
          <w:i/>
          <w:iCs/>
          <w:noProof/>
          <w:szCs w:val="24"/>
        </w:rPr>
        <w:t>Exp. Econ.</w:t>
      </w:r>
      <w:r w:rsidRPr="00542D39">
        <w:rPr>
          <w:noProof/>
          <w:szCs w:val="24"/>
        </w:rPr>
        <w:t>, vol. 21, no. 1, pp. 72–98, 2018, doi: 10.1007/s10683-017-9526-3.</w:t>
      </w:r>
    </w:p>
    <w:p w14:paraId="0874A5FB" w14:textId="77777777" w:rsidR="00542D39" w:rsidRPr="00542D39" w:rsidRDefault="00542D39" w:rsidP="00542D39">
      <w:pPr>
        <w:widowControl w:val="0"/>
        <w:autoSpaceDE w:val="0"/>
        <w:autoSpaceDN w:val="0"/>
        <w:adjustRightInd w:val="0"/>
        <w:ind w:left="640" w:hanging="640"/>
        <w:rPr>
          <w:noProof/>
          <w:szCs w:val="24"/>
        </w:rPr>
      </w:pPr>
      <w:r w:rsidRPr="00542D39">
        <w:rPr>
          <w:noProof/>
          <w:szCs w:val="24"/>
        </w:rPr>
        <w:t>[22]</w:t>
      </w:r>
      <w:r w:rsidRPr="00542D39">
        <w:rPr>
          <w:noProof/>
          <w:szCs w:val="24"/>
        </w:rPr>
        <w:tab/>
        <w:t xml:space="preserve">S. Busi and N. Chea, “Barriers of Discussion Concerning Sexual and Reproductive Health Issues Among Adolescents and Parents, Hawassa, SNNPR, Ethiopia,” </w:t>
      </w:r>
      <w:r w:rsidRPr="00542D39">
        <w:rPr>
          <w:i/>
          <w:iCs/>
          <w:noProof/>
          <w:szCs w:val="24"/>
        </w:rPr>
        <w:t>Biomed. J. Sci. Tech. Res.</w:t>
      </w:r>
      <w:r w:rsidRPr="00542D39">
        <w:rPr>
          <w:noProof/>
          <w:szCs w:val="24"/>
        </w:rPr>
        <w:t>, vol. 1, no. 7, pp. 1947–1953, 2017, doi: 10.26717/bjstr.2017.01.000591.</w:t>
      </w:r>
    </w:p>
    <w:p w14:paraId="7E103584" w14:textId="77777777" w:rsidR="00542D39" w:rsidRPr="00542D39" w:rsidRDefault="00542D39" w:rsidP="00542D39">
      <w:pPr>
        <w:widowControl w:val="0"/>
        <w:autoSpaceDE w:val="0"/>
        <w:autoSpaceDN w:val="0"/>
        <w:adjustRightInd w:val="0"/>
        <w:ind w:left="640" w:hanging="640"/>
        <w:rPr>
          <w:noProof/>
          <w:szCs w:val="24"/>
        </w:rPr>
      </w:pPr>
      <w:r w:rsidRPr="00542D39">
        <w:rPr>
          <w:noProof/>
          <w:szCs w:val="24"/>
        </w:rPr>
        <w:t>[23]</w:t>
      </w:r>
      <w:r w:rsidRPr="00542D39">
        <w:rPr>
          <w:noProof/>
          <w:szCs w:val="24"/>
        </w:rPr>
        <w:tab/>
        <w:t xml:space="preserve">K. G. Wudineh, F. A. Chekole, and A. A. Tesfu, “Adolescent-parent communication on sexual and reproductive health issues and associated factors among secondary school students in Woreta town, Northwest Ethiopia: An institutional based cross sectional study,” </w:t>
      </w:r>
      <w:r w:rsidRPr="00542D39">
        <w:rPr>
          <w:i/>
          <w:iCs/>
          <w:noProof/>
          <w:szCs w:val="24"/>
        </w:rPr>
        <w:t>Heliyon</w:t>
      </w:r>
      <w:r w:rsidRPr="00542D39">
        <w:rPr>
          <w:noProof/>
          <w:szCs w:val="24"/>
        </w:rPr>
        <w:t>, vol. 7, no. 3, p. e06528, 2021, doi: 10.1016/j.heliyon.2021.e06528.</w:t>
      </w:r>
    </w:p>
    <w:p w14:paraId="4EE21704" w14:textId="77777777" w:rsidR="00542D39" w:rsidRPr="00542D39" w:rsidRDefault="00542D39" w:rsidP="00542D39">
      <w:pPr>
        <w:widowControl w:val="0"/>
        <w:autoSpaceDE w:val="0"/>
        <w:autoSpaceDN w:val="0"/>
        <w:adjustRightInd w:val="0"/>
        <w:ind w:left="640" w:hanging="640"/>
        <w:rPr>
          <w:noProof/>
          <w:szCs w:val="24"/>
        </w:rPr>
      </w:pPr>
      <w:r w:rsidRPr="00542D39">
        <w:rPr>
          <w:noProof/>
          <w:szCs w:val="24"/>
        </w:rPr>
        <w:t>[24]</w:t>
      </w:r>
      <w:r w:rsidRPr="00542D39">
        <w:rPr>
          <w:noProof/>
          <w:szCs w:val="24"/>
        </w:rPr>
        <w:tab/>
        <w:t xml:space="preserve">A. M. Ashcraft and P. J. Murray, “Talking to Parents About Adolescent Sexuality,” </w:t>
      </w:r>
      <w:r w:rsidRPr="00542D39">
        <w:rPr>
          <w:i/>
          <w:iCs/>
          <w:noProof/>
          <w:szCs w:val="24"/>
        </w:rPr>
        <w:t>Pediatr. Clin. North Am.</w:t>
      </w:r>
      <w:r w:rsidRPr="00542D39">
        <w:rPr>
          <w:noProof/>
          <w:szCs w:val="24"/>
        </w:rPr>
        <w:t>, vol. 64, no. 2, pp. 305–320, 2017, doi: 10.1016/j.pcl.2016.11.002.</w:t>
      </w:r>
    </w:p>
    <w:p w14:paraId="5299DD47" w14:textId="77777777" w:rsidR="00542D39" w:rsidRPr="00542D39" w:rsidRDefault="00542D39" w:rsidP="00542D39">
      <w:pPr>
        <w:widowControl w:val="0"/>
        <w:autoSpaceDE w:val="0"/>
        <w:autoSpaceDN w:val="0"/>
        <w:adjustRightInd w:val="0"/>
        <w:ind w:left="640" w:hanging="640"/>
        <w:rPr>
          <w:noProof/>
          <w:szCs w:val="24"/>
        </w:rPr>
      </w:pPr>
      <w:r w:rsidRPr="00542D39">
        <w:rPr>
          <w:noProof/>
          <w:szCs w:val="24"/>
        </w:rPr>
        <w:t>[25]</w:t>
      </w:r>
      <w:r w:rsidRPr="00542D39">
        <w:rPr>
          <w:noProof/>
          <w:szCs w:val="24"/>
        </w:rPr>
        <w:tab/>
        <w:t xml:space="preserve">M. Mekie, D. Addisu, A. Melkie, and W. Taklual, “Parent-adolescent communication on sexual and reproductive health issues and its associated factors in Ethiopia: a systematic review and meta-analysis,” </w:t>
      </w:r>
      <w:r w:rsidRPr="00542D39">
        <w:rPr>
          <w:i/>
          <w:iCs/>
          <w:noProof/>
          <w:szCs w:val="24"/>
        </w:rPr>
        <w:t>Ital. J. Pediatr.</w:t>
      </w:r>
      <w:r w:rsidRPr="00542D39">
        <w:rPr>
          <w:noProof/>
          <w:szCs w:val="24"/>
        </w:rPr>
        <w:t>, vol. 46, no. 1, pp. 1–13, 2020, doi: 10.1186/s13052-020-00921-5.</w:t>
      </w:r>
    </w:p>
    <w:p w14:paraId="73CACB0D" w14:textId="77777777" w:rsidR="00542D39" w:rsidRPr="00542D39" w:rsidRDefault="00542D39" w:rsidP="00542D39">
      <w:pPr>
        <w:widowControl w:val="0"/>
        <w:autoSpaceDE w:val="0"/>
        <w:autoSpaceDN w:val="0"/>
        <w:adjustRightInd w:val="0"/>
        <w:ind w:left="640" w:hanging="640"/>
        <w:rPr>
          <w:noProof/>
          <w:szCs w:val="24"/>
        </w:rPr>
      </w:pPr>
      <w:r w:rsidRPr="00542D39">
        <w:rPr>
          <w:noProof/>
          <w:szCs w:val="24"/>
        </w:rPr>
        <w:t>[26]</w:t>
      </w:r>
      <w:r w:rsidRPr="00542D39">
        <w:rPr>
          <w:noProof/>
          <w:szCs w:val="24"/>
        </w:rPr>
        <w:tab/>
        <w:t xml:space="preserve">M. S. Yibrehu and B. Mbwele, “Parent - Adolescent communication on sexual and reproductive health: The qualitative evidences from parents and students of Addis Ababa, Ethiopia,” </w:t>
      </w:r>
      <w:r w:rsidRPr="00542D39">
        <w:rPr>
          <w:i/>
          <w:iCs/>
          <w:noProof/>
          <w:szCs w:val="24"/>
        </w:rPr>
        <w:t>Reprod. Health</w:t>
      </w:r>
      <w:r w:rsidRPr="00542D39">
        <w:rPr>
          <w:noProof/>
          <w:szCs w:val="24"/>
        </w:rPr>
        <w:t>, vol. 17, no. 1, pp. 1–9, 2020, doi: 10.1186/s12978-020-00927-6.</w:t>
      </w:r>
    </w:p>
    <w:p w14:paraId="45DC9EE5" w14:textId="77777777" w:rsidR="00542D39" w:rsidRPr="00542D39" w:rsidRDefault="00542D39" w:rsidP="00542D39">
      <w:pPr>
        <w:widowControl w:val="0"/>
        <w:autoSpaceDE w:val="0"/>
        <w:autoSpaceDN w:val="0"/>
        <w:adjustRightInd w:val="0"/>
        <w:ind w:left="640" w:hanging="640"/>
        <w:rPr>
          <w:noProof/>
          <w:szCs w:val="24"/>
        </w:rPr>
      </w:pPr>
      <w:r w:rsidRPr="00542D39">
        <w:rPr>
          <w:noProof/>
          <w:szCs w:val="24"/>
        </w:rPr>
        <w:t>[27]</w:t>
      </w:r>
      <w:r w:rsidRPr="00542D39">
        <w:rPr>
          <w:noProof/>
          <w:szCs w:val="24"/>
        </w:rPr>
        <w:tab/>
        <w:t xml:space="preserve">T. A. Yadeta, H. K. Bedane, and A. K. Tura, “Factors affecting parent-adolescent discussion on reproductive health issues in Harar, eastern Ethiopia: A cross-sectional study,” </w:t>
      </w:r>
      <w:r w:rsidRPr="00542D39">
        <w:rPr>
          <w:i/>
          <w:iCs/>
          <w:noProof/>
          <w:szCs w:val="24"/>
        </w:rPr>
        <w:t>J. Environ. Public Health</w:t>
      </w:r>
      <w:r w:rsidRPr="00542D39">
        <w:rPr>
          <w:noProof/>
          <w:szCs w:val="24"/>
        </w:rPr>
        <w:t>, vol. 2014, 2014, doi: 10.1155/2014/102579.</w:t>
      </w:r>
    </w:p>
    <w:p w14:paraId="3BC883B2" w14:textId="77777777" w:rsidR="00542D39" w:rsidRPr="00542D39" w:rsidRDefault="00542D39" w:rsidP="00542D39">
      <w:pPr>
        <w:widowControl w:val="0"/>
        <w:autoSpaceDE w:val="0"/>
        <w:autoSpaceDN w:val="0"/>
        <w:adjustRightInd w:val="0"/>
        <w:ind w:left="640" w:hanging="640"/>
        <w:rPr>
          <w:noProof/>
          <w:szCs w:val="24"/>
        </w:rPr>
      </w:pPr>
      <w:r w:rsidRPr="00542D39">
        <w:rPr>
          <w:noProof/>
          <w:szCs w:val="24"/>
        </w:rPr>
        <w:t>[28]</w:t>
      </w:r>
      <w:r w:rsidRPr="00542D39">
        <w:rPr>
          <w:noProof/>
          <w:szCs w:val="24"/>
        </w:rPr>
        <w:tab/>
        <w:t xml:space="preserve">J. Wamoyi, A. Fenwick, M. Urassa, B. Zaba, and W. Stones, “Parent-Child Communication about Sexual and Reproductive Health in Rural Tanzania: Implications for Young People’s Sexual Health Intervention,” </w:t>
      </w:r>
      <w:r w:rsidRPr="00542D39">
        <w:rPr>
          <w:i/>
          <w:iCs/>
          <w:noProof/>
          <w:szCs w:val="24"/>
        </w:rPr>
        <w:t>Reprod. Health</w:t>
      </w:r>
      <w:r w:rsidRPr="00542D39">
        <w:rPr>
          <w:noProof/>
          <w:szCs w:val="24"/>
        </w:rPr>
        <w:t>, vol. 7, no. 1, p. 6, 2010.</w:t>
      </w:r>
    </w:p>
    <w:p w14:paraId="1671089A" w14:textId="77777777" w:rsidR="00542D39" w:rsidRPr="00542D39" w:rsidRDefault="00542D39" w:rsidP="00542D39">
      <w:pPr>
        <w:widowControl w:val="0"/>
        <w:autoSpaceDE w:val="0"/>
        <w:autoSpaceDN w:val="0"/>
        <w:adjustRightInd w:val="0"/>
        <w:ind w:left="640" w:hanging="640"/>
        <w:rPr>
          <w:noProof/>
          <w:szCs w:val="24"/>
        </w:rPr>
      </w:pPr>
      <w:r w:rsidRPr="00542D39">
        <w:rPr>
          <w:noProof/>
          <w:szCs w:val="24"/>
        </w:rPr>
        <w:t>[29]</w:t>
      </w:r>
      <w:r w:rsidRPr="00542D39">
        <w:rPr>
          <w:noProof/>
          <w:szCs w:val="24"/>
        </w:rPr>
        <w:tab/>
        <w:t xml:space="preserve">UNESCO, </w:t>
      </w:r>
      <w:r w:rsidRPr="00542D39">
        <w:rPr>
          <w:i/>
          <w:iCs/>
          <w:noProof/>
          <w:szCs w:val="24"/>
        </w:rPr>
        <w:t>International Technical Guidance on Sexuality Education</w:t>
      </w:r>
      <w:r w:rsidRPr="00542D39">
        <w:rPr>
          <w:noProof/>
          <w:szCs w:val="24"/>
        </w:rPr>
        <w:t>. Paris: United Nations Educational, Scientific and Cultural Organization (UNSESCO), 2018.</w:t>
      </w:r>
    </w:p>
    <w:p w14:paraId="0963B39F" w14:textId="77777777" w:rsidR="00542D39" w:rsidRPr="00542D39" w:rsidRDefault="00542D39" w:rsidP="00542D39">
      <w:pPr>
        <w:widowControl w:val="0"/>
        <w:autoSpaceDE w:val="0"/>
        <w:autoSpaceDN w:val="0"/>
        <w:adjustRightInd w:val="0"/>
        <w:ind w:left="640" w:hanging="640"/>
        <w:rPr>
          <w:noProof/>
          <w:szCs w:val="24"/>
        </w:rPr>
      </w:pPr>
      <w:r w:rsidRPr="00542D39">
        <w:rPr>
          <w:noProof/>
          <w:szCs w:val="24"/>
        </w:rPr>
        <w:t>[30]</w:t>
      </w:r>
      <w:r w:rsidRPr="00542D39">
        <w:rPr>
          <w:noProof/>
          <w:szCs w:val="24"/>
        </w:rPr>
        <w:tab/>
        <w:t xml:space="preserve">M. Zakaria, J. Xu, F. Karim, and F. Cheng, “Reproductive health communication between mother and adolescent daughter in Bangladesh: a cross-sectional study,” </w:t>
      </w:r>
      <w:r w:rsidRPr="00542D39">
        <w:rPr>
          <w:i/>
          <w:iCs/>
          <w:noProof/>
          <w:szCs w:val="24"/>
        </w:rPr>
        <w:t>Reprod. Health</w:t>
      </w:r>
      <w:r w:rsidRPr="00542D39">
        <w:rPr>
          <w:noProof/>
          <w:szCs w:val="24"/>
        </w:rPr>
        <w:t>, vol. 16, no. 1, p. 114, 2019, doi: 10.1186/s12978-019-0778-6.</w:t>
      </w:r>
    </w:p>
    <w:p w14:paraId="50EE8CAA" w14:textId="77777777" w:rsidR="00542D39" w:rsidRPr="00542D39" w:rsidRDefault="00542D39" w:rsidP="00542D39">
      <w:pPr>
        <w:widowControl w:val="0"/>
        <w:autoSpaceDE w:val="0"/>
        <w:autoSpaceDN w:val="0"/>
        <w:adjustRightInd w:val="0"/>
        <w:ind w:left="640" w:hanging="640"/>
        <w:rPr>
          <w:noProof/>
          <w:szCs w:val="24"/>
        </w:rPr>
      </w:pPr>
      <w:r w:rsidRPr="00542D39">
        <w:rPr>
          <w:noProof/>
          <w:szCs w:val="24"/>
        </w:rPr>
        <w:t>[31]</w:t>
      </w:r>
      <w:r w:rsidRPr="00542D39">
        <w:rPr>
          <w:noProof/>
          <w:szCs w:val="24"/>
        </w:rPr>
        <w:tab/>
        <w:t xml:space="preserve">B. W. Maina, B. A. Ushie, and C. W. Kabiru, “Parent-child sexual and reproductive health communication among very young adolescents in Korogocho informal settlement in Nairobi, Kenya,” </w:t>
      </w:r>
      <w:r w:rsidRPr="00542D39">
        <w:rPr>
          <w:i/>
          <w:iCs/>
          <w:noProof/>
          <w:szCs w:val="24"/>
        </w:rPr>
        <w:t>Reprod. Health</w:t>
      </w:r>
      <w:r w:rsidRPr="00542D39">
        <w:rPr>
          <w:noProof/>
          <w:szCs w:val="24"/>
        </w:rPr>
        <w:t>, vol. 17, no. 1, pp. 1–14, 2020, doi: 10.1186/s12978-020-00938-3.</w:t>
      </w:r>
    </w:p>
    <w:p w14:paraId="6A972E8C" w14:textId="77777777" w:rsidR="00542D39" w:rsidRPr="00542D39" w:rsidRDefault="00542D39" w:rsidP="00542D39">
      <w:pPr>
        <w:widowControl w:val="0"/>
        <w:autoSpaceDE w:val="0"/>
        <w:autoSpaceDN w:val="0"/>
        <w:adjustRightInd w:val="0"/>
        <w:ind w:left="640" w:hanging="640"/>
        <w:rPr>
          <w:noProof/>
          <w:szCs w:val="24"/>
        </w:rPr>
      </w:pPr>
      <w:r w:rsidRPr="00542D39">
        <w:rPr>
          <w:noProof/>
          <w:szCs w:val="24"/>
        </w:rPr>
        <w:t>[32]</w:t>
      </w:r>
      <w:r w:rsidRPr="00542D39">
        <w:rPr>
          <w:noProof/>
          <w:szCs w:val="24"/>
        </w:rPr>
        <w:tab/>
        <w:t xml:space="preserve">A. K. Abdallah, R. J. Magata, and J. N. Sylvester, “Barriers to parent-child communication on sexual and reproductive health issues in East Africa: A review of qualitative research in four countries,” </w:t>
      </w:r>
      <w:r w:rsidRPr="00542D39">
        <w:rPr>
          <w:i/>
          <w:iCs/>
          <w:noProof/>
          <w:szCs w:val="24"/>
        </w:rPr>
        <w:t>J. African Stud. Dev.</w:t>
      </w:r>
      <w:r w:rsidRPr="00542D39">
        <w:rPr>
          <w:noProof/>
          <w:szCs w:val="24"/>
        </w:rPr>
        <w:t>, vol. 9, no. 4, pp. 45–50, 2017, doi: 10.5897/jasd2016.0410.</w:t>
      </w:r>
    </w:p>
    <w:p w14:paraId="44E19411" w14:textId="77777777" w:rsidR="00542D39" w:rsidRPr="00542D39" w:rsidRDefault="00542D39" w:rsidP="00542D39">
      <w:pPr>
        <w:widowControl w:val="0"/>
        <w:autoSpaceDE w:val="0"/>
        <w:autoSpaceDN w:val="0"/>
        <w:adjustRightInd w:val="0"/>
        <w:ind w:left="640" w:hanging="640"/>
        <w:rPr>
          <w:noProof/>
          <w:szCs w:val="24"/>
        </w:rPr>
      </w:pPr>
      <w:r w:rsidRPr="00542D39">
        <w:rPr>
          <w:noProof/>
          <w:szCs w:val="24"/>
        </w:rPr>
        <w:t>[33]</w:t>
      </w:r>
      <w:r w:rsidRPr="00542D39">
        <w:rPr>
          <w:noProof/>
          <w:szCs w:val="24"/>
        </w:rPr>
        <w:tab/>
        <w:t xml:space="preserve">M. L. A. Ghaffar and T. A. I. Kusumaningrum, “Hubungan Norma Sosial dan Dukungan Teman Sebaya terhadap Niat Pantang Perilaku Seksual ( Sexual Abstinence ) pada Remaja,” </w:t>
      </w:r>
      <w:r w:rsidRPr="00542D39">
        <w:rPr>
          <w:i/>
          <w:iCs/>
          <w:noProof/>
          <w:szCs w:val="24"/>
        </w:rPr>
        <w:t>J. Ilmu Kesehat. Masy. Berk.</w:t>
      </w:r>
      <w:r w:rsidRPr="00542D39">
        <w:rPr>
          <w:noProof/>
          <w:szCs w:val="24"/>
        </w:rPr>
        <w:t>, vol. 3, no. 1, pp. 70–79, 2021.</w:t>
      </w:r>
    </w:p>
    <w:p w14:paraId="1CFA1689" w14:textId="77777777" w:rsidR="00542D39" w:rsidRPr="00542D39" w:rsidRDefault="00542D39" w:rsidP="00542D39">
      <w:pPr>
        <w:widowControl w:val="0"/>
        <w:autoSpaceDE w:val="0"/>
        <w:autoSpaceDN w:val="0"/>
        <w:adjustRightInd w:val="0"/>
        <w:ind w:left="640" w:hanging="640"/>
        <w:rPr>
          <w:noProof/>
        </w:rPr>
      </w:pPr>
      <w:r w:rsidRPr="00542D39">
        <w:rPr>
          <w:noProof/>
          <w:szCs w:val="24"/>
        </w:rPr>
        <w:t>[34]</w:t>
      </w:r>
      <w:r w:rsidRPr="00542D39">
        <w:rPr>
          <w:noProof/>
          <w:szCs w:val="24"/>
        </w:rPr>
        <w:tab/>
        <w:t xml:space="preserve">V. Vongsavanh, V. T. H. Lan, and V. Sychareun, “Sexual and reproductive health communication between parents and high school adolescents in Vientiane Prefecture, Lao PDR,” </w:t>
      </w:r>
      <w:r w:rsidRPr="00542D39">
        <w:rPr>
          <w:i/>
          <w:iCs/>
          <w:noProof/>
          <w:szCs w:val="24"/>
        </w:rPr>
        <w:t>Glob. Health Action</w:t>
      </w:r>
      <w:r w:rsidRPr="00542D39">
        <w:rPr>
          <w:noProof/>
          <w:szCs w:val="24"/>
        </w:rPr>
        <w:t>, vol. 13, no. sup2, 2020, doi: 10.1080/16549716.2020.1785145.</w:t>
      </w:r>
    </w:p>
    <w:p w14:paraId="77987C06" w14:textId="762CD0E5" w:rsidR="00F81ABB" w:rsidRPr="00F81ABB" w:rsidRDefault="00E30FA5" w:rsidP="00DA0A88">
      <w:pPr>
        <w:tabs>
          <w:tab w:val="left" w:pos="426"/>
        </w:tabs>
        <w:jc w:val="both"/>
        <w:rPr>
          <w:lang w:val="id-ID"/>
        </w:rPr>
      </w:pPr>
      <w:r>
        <w:rPr>
          <w:lang w:val="id-ID"/>
        </w:rPr>
        <w:fldChar w:fldCharType="end"/>
      </w:r>
    </w:p>
    <w:p w14:paraId="2FDAD90F" w14:textId="022DDA03" w:rsidR="00231A19" w:rsidRDefault="00F33C08" w:rsidP="00F81ABB">
      <w:pPr>
        <w:rPr>
          <w:b/>
          <w:bCs/>
        </w:rPr>
      </w:pPr>
      <w:r>
        <w:rPr>
          <w:rStyle w:val="apple-style-span"/>
          <w:b/>
          <w:color w:val="000000"/>
          <w:lang w:val="pt-BR"/>
        </w:rPr>
        <w:t>BIOGRAPH</w:t>
      </w:r>
      <w:r w:rsidR="0058279C">
        <w:rPr>
          <w:rStyle w:val="apple-style-span"/>
          <w:b/>
          <w:color w:val="000000"/>
          <w:lang w:val="pt-BR"/>
        </w:rPr>
        <w:t>IES</w:t>
      </w:r>
      <w:r>
        <w:rPr>
          <w:rStyle w:val="apple-style-span"/>
          <w:b/>
          <w:color w:val="000000"/>
          <w:lang w:val="pt-BR"/>
        </w:rPr>
        <w:t xml:space="preserve"> OF AUTHORS </w:t>
      </w:r>
    </w:p>
    <w:p w14:paraId="79C5D70F" w14:textId="77777777" w:rsidR="00231A19" w:rsidRDefault="00231A19" w:rsidP="00231A19">
      <w:pPr>
        <w:rPr>
          <w:b/>
          <w:bCs/>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3"/>
        <w:gridCol w:w="7226"/>
      </w:tblGrid>
      <w:tr w:rsidR="00231A19" w14:paraId="07D752C8" w14:textId="77777777" w:rsidTr="00F33C08">
        <w:tc>
          <w:tcPr>
            <w:tcW w:w="1813" w:type="dxa"/>
          </w:tcPr>
          <w:p w14:paraId="35D846A6" w14:textId="77777777" w:rsidR="00231A19" w:rsidRPr="00231A19" w:rsidRDefault="00231A19" w:rsidP="00A47AD5">
            <w:pPr>
              <w:rPr>
                <w:color w:val="000000"/>
                <w:lang w:val="pt-BR"/>
              </w:rPr>
            </w:pPr>
          </w:p>
          <w:p w14:paraId="451B0CDF" w14:textId="77777777" w:rsidR="00231A19" w:rsidRPr="00231A19" w:rsidRDefault="00231A19" w:rsidP="00A47AD5">
            <w:pPr>
              <w:jc w:val="center"/>
              <w:rPr>
                <w:color w:val="000000"/>
                <w:lang w:val="pt-BR"/>
              </w:rPr>
            </w:pPr>
            <w:r w:rsidRPr="00231A19">
              <w:rPr>
                <w:color w:val="000000"/>
                <w:lang w:val="pt-BR"/>
              </w:rPr>
              <w:t xml:space="preserve">First author’s </w:t>
            </w:r>
          </w:p>
          <w:p w14:paraId="0546D2BA" w14:textId="160AFF7A" w:rsidR="00231A19" w:rsidRPr="00231A19" w:rsidRDefault="00171B8F" w:rsidP="00171B8F">
            <w:pPr>
              <w:jc w:val="center"/>
              <w:rPr>
                <w:color w:val="000000"/>
                <w:lang w:val="pt-BR"/>
              </w:rPr>
            </w:pPr>
            <w:r>
              <w:rPr>
                <w:noProof/>
              </w:rPr>
              <w:drawing>
                <wp:inline distT="0" distB="0" distL="0" distR="0" wp14:anchorId="65DA7330" wp14:editId="3B2128FA">
                  <wp:extent cx="944880" cy="1428115"/>
                  <wp:effectExtent l="0" t="0" r="7620"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44880" cy="1428115"/>
                          </a:xfrm>
                          <a:prstGeom prst="rect">
                            <a:avLst/>
                          </a:prstGeom>
                          <a:noFill/>
                          <a:ln>
                            <a:noFill/>
                          </a:ln>
                        </pic:spPr>
                      </pic:pic>
                    </a:graphicData>
                  </a:graphic>
                </wp:inline>
              </w:drawing>
            </w:r>
          </w:p>
        </w:tc>
        <w:tc>
          <w:tcPr>
            <w:tcW w:w="7226" w:type="dxa"/>
          </w:tcPr>
          <w:p w14:paraId="090EE285" w14:textId="64ECF522" w:rsidR="00231A19" w:rsidRDefault="00096BC2" w:rsidP="00A47AD5">
            <w:pPr>
              <w:jc w:val="both"/>
              <w:rPr>
                <w:color w:val="000000"/>
                <w:sz w:val="18"/>
                <w:szCs w:val="18"/>
              </w:rPr>
            </w:pPr>
            <w:r>
              <w:rPr>
                <w:color w:val="000000"/>
                <w:sz w:val="18"/>
                <w:szCs w:val="18"/>
              </w:rPr>
              <w:t>Nam</w:t>
            </w:r>
            <w:r w:rsidR="00CF0AD0">
              <w:rPr>
                <w:color w:val="000000"/>
                <w:sz w:val="18"/>
                <w:szCs w:val="18"/>
              </w:rPr>
              <w:t>e</w:t>
            </w:r>
            <w:r>
              <w:rPr>
                <w:color w:val="000000"/>
                <w:sz w:val="18"/>
                <w:szCs w:val="18"/>
              </w:rPr>
              <w:t xml:space="preserve">   </w:t>
            </w:r>
            <w:proofErr w:type="gramStart"/>
            <w:r>
              <w:rPr>
                <w:color w:val="000000"/>
                <w:sz w:val="18"/>
                <w:szCs w:val="18"/>
              </w:rPr>
              <w:t xml:space="preserve">  :</w:t>
            </w:r>
            <w:proofErr w:type="gramEnd"/>
            <w:r>
              <w:rPr>
                <w:color w:val="000000"/>
                <w:sz w:val="18"/>
                <w:szCs w:val="18"/>
              </w:rPr>
              <w:t xml:space="preserve"> </w:t>
            </w:r>
            <w:proofErr w:type="spellStart"/>
            <w:r>
              <w:rPr>
                <w:color w:val="000000"/>
                <w:sz w:val="18"/>
                <w:szCs w:val="18"/>
              </w:rPr>
              <w:t>Tanjung</w:t>
            </w:r>
            <w:proofErr w:type="spellEnd"/>
            <w:r>
              <w:rPr>
                <w:color w:val="000000"/>
                <w:sz w:val="18"/>
                <w:szCs w:val="18"/>
              </w:rPr>
              <w:t xml:space="preserve"> </w:t>
            </w:r>
            <w:proofErr w:type="spellStart"/>
            <w:r>
              <w:rPr>
                <w:color w:val="000000"/>
                <w:sz w:val="18"/>
                <w:szCs w:val="18"/>
              </w:rPr>
              <w:t>Anitasari</w:t>
            </w:r>
            <w:proofErr w:type="spellEnd"/>
            <w:r>
              <w:rPr>
                <w:color w:val="000000"/>
                <w:sz w:val="18"/>
                <w:szCs w:val="18"/>
              </w:rPr>
              <w:t xml:space="preserve"> Indah </w:t>
            </w:r>
            <w:proofErr w:type="spellStart"/>
            <w:r>
              <w:rPr>
                <w:color w:val="000000"/>
                <w:sz w:val="18"/>
                <w:szCs w:val="18"/>
              </w:rPr>
              <w:t>Kusumaningrum</w:t>
            </w:r>
            <w:proofErr w:type="spellEnd"/>
          </w:p>
          <w:p w14:paraId="1B14BD98" w14:textId="71850865" w:rsidR="00231A19" w:rsidRDefault="00CF0AD0" w:rsidP="00A47AD5">
            <w:pPr>
              <w:rPr>
                <w:color w:val="000000"/>
                <w:sz w:val="18"/>
                <w:szCs w:val="18"/>
              </w:rPr>
            </w:pPr>
            <w:proofErr w:type="spellStart"/>
            <w:r>
              <w:rPr>
                <w:color w:val="000000"/>
                <w:sz w:val="18"/>
                <w:szCs w:val="18"/>
              </w:rPr>
              <w:t>Afiliasi</w:t>
            </w:r>
            <w:proofErr w:type="spellEnd"/>
            <w:r>
              <w:rPr>
                <w:color w:val="000000"/>
                <w:sz w:val="18"/>
                <w:szCs w:val="18"/>
              </w:rPr>
              <w:t xml:space="preserve"> </w:t>
            </w:r>
            <w:proofErr w:type="gramStart"/>
            <w:r>
              <w:rPr>
                <w:color w:val="000000"/>
                <w:sz w:val="18"/>
                <w:szCs w:val="18"/>
              </w:rPr>
              <w:t xml:space="preserve">  :</w:t>
            </w:r>
            <w:proofErr w:type="gramEnd"/>
            <w:r>
              <w:rPr>
                <w:color w:val="000000"/>
                <w:sz w:val="18"/>
                <w:szCs w:val="18"/>
              </w:rPr>
              <w:t xml:space="preserve"> Public Health Department, Faculty of Health Science, Universitas Muhammadiyah Surakarta</w:t>
            </w:r>
          </w:p>
          <w:p w14:paraId="179FEBE0" w14:textId="0A298BCF" w:rsidR="00CF0AD0" w:rsidRPr="00231A19" w:rsidRDefault="00CF0AD0" w:rsidP="00A47AD5">
            <w:pPr>
              <w:rPr>
                <w:color w:val="000000"/>
                <w:lang w:val="pt-BR"/>
              </w:rPr>
            </w:pPr>
            <w:r>
              <w:rPr>
                <w:color w:val="000000"/>
                <w:sz w:val="18"/>
                <w:szCs w:val="18"/>
              </w:rPr>
              <w:t xml:space="preserve">Email    </w:t>
            </w:r>
            <w:proofErr w:type="gramStart"/>
            <w:r>
              <w:rPr>
                <w:color w:val="000000"/>
                <w:sz w:val="18"/>
                <w:szCs w:val="18"/>
              </w:rPr>
              <w:t xml:space="preserve">  :</w:t>
            </w:r>
            <w:proofErr w:type="gramEnd"/>
            <w:r>
              <w:rPr>
                <w:color w:val="000000"/>
                <w:sz w:val="18"/>
                <w:szCs w:val="18"/>
              </w:rPr>
              <w:t xml:space="preserve"> tanjung.anitasari@ums.ac.id</w:t>
            </w:r>
          </w:p>
          <w:p w14:paraId="05BA2951" w14:textId="77777777" w:rsidR="00231A19" w:rsidRPr="00231A19" w:rsidRDefault="00231A19" w:rsidP="00A47AD5">
            <w:pPr>
              <w:rPr>
                <w:color w:val="000000"/>
                <w:lang w:val="pt-BR"/>
              </w:rPr>
            </w:pPr>
          </w:p>
          <w:p w14:paraId="51CFCBA3" w14:textId="77777777" w:rsidR="00231A19" w:rsidRPr="00231A19" w:rsidRDefault="00231A19" w:rsidP="00A47AD5">
            <w:pPr>
              <w:rPr>
                <w:color w:val="000000"/>
                <w:lang w:val="pt-BR"/>
              </w:rPr>
            </w:pPr>
          </w:p>
          <w:p w14:paraId="2BC4036F" w14:textId="77777777" w:rsidR="00231A19" w:rsidRDefault="00231A19" w:rsidP="00A47AD5">
            <w:pPr>
              <w:rPr>
                <w:color w:val="000000"/>
                <w:lang w:val="pt-BR"/>
              </w:rPr>
            </w:pPr>
          </w:p>
          <w:p w14:paraId="19C47D49" w14:textId="77777777" w:rsidR="00A47AD5" w:rsidRDefault="00A47AD5" w:rsidP="00A47AD5">
            <w:pPr>
              <w:rPr>
                <w:color w:val="000000"/>
                <w:lang w:val="pt-BR"/>
              </w:rPr>
            </w:pPr>
          </w:p>
          <w:p w14:paraId="220729B2" w14:textId="77777777" w:rsidR="00A47AD5" w:rsidRPr="00231A19" w:rsidRDefault="00A47AD5" w:rsidP="00A47AD5">
            <w:pPr>
              <w:rPr>
                <w:color w:val="000000"/>
                <w:lang w:val="pt-BR"/>
              </w:rPr>
            </w:pPr>
          </w:p>
        </w:tc>
      </w:tr>
      <w:tr w:rsidR="00A47AD5" w14:paraId="3052BA35" w14:textId="77777777" w:rsidTr="00F33C08">
        <w:tc>
          <w:tcPr>
            <w:tcW w:w="1813" w:type="dxa"/>
          </w:tcPr>
          <w:p w14:paraId="6A8F7036" w14:textId="77777777" w:rsidR="00A47AD5" w:rsidRPr="00231A19" w:rsidRDefault="00A47AD5" w:rsidP="00A47AD5">
            <w:pPr>
              <w:rPr>
                <w:color w:val="000000"/>
                <w:lang w:val="pt-BR"/>
              </w:rPr>
            </w:pPr>
          </w:p>
        </w:tc>
        <w:tc>
          <w:tcPr>
            <w:tcW w:w="7226" w:type="dxa"/>
          </w:tcPr>
          <w:p w14:paraId="1BD0B23E" w14:textId="77777777" w:rsidR="00A47AD5" w:rsidRPr="00231A19" w:rsidRDefault="00A47AD5" w:rsidP="00A47AD5">
            <w:pPr>
              <w:jc w:val="both"/>
              <w:rPr>
                <w:color w:val="000000"/>
                <w:sz w:val="18"/>
                <w:szCs w:val="18"/>
              </w:rPr>
            </w:pPr>
          </w:p>
        </w:tc>
      </w:tr>
      <w:tr w:rsidR="00231A19" w14:paraId="1E01579D" w14:textId="77777777" w:rsidTr="00F33C08">
        <w:tc>
          <w:tcPr>
            <w:tcW w:w="1813" w:type="dxa"/>
          </w:tcPr>
          <w:p w14:paraId="70BE5A3E" w14:textId="77777777" w:rsidR="00231A19" w:rsidRPr="00231A19" w:rsidRDefault="00231A19" w:rsidP="00A47AD5">
            <w:pPr>
              <w:rPr>
                <w:color w:val="000000"/>
                <w:lang w:val="pt-BR"/>
              </w:rPr>
            </w:pPr>
          </w:p>
          <w:p w14:paraId="5198F84E" w14:textId="1AC5140F" w:rsidR="00231A19" w:rsidRDefault="00231A19" w:rsidP="00A47AD5">
            <w:pPr>
              <w:jc w:val="center"/>
              <w:rPr>
                <w:color w:val="000000"/>
                <w:lang w:val="pt-BR"/>
              </w:rPr>
            </w:pPr>
            <w:r w:rsidRPr="00231A19">
              <w:rPr>
                <w:color w:val="000000"/>
                <w:lang w:val="pt-BR"/>
              </w:rPr>
              <w:t xml:space="preserve">Second author’s </w:t>
            </w:r>
          </w:p>
          <w:p w14:paraId="2013E55E" w14:textId="0DDD29DC" w:rsidR="00231A19" w:rsidRPr="00231A19" w:rsidRDefault="00FE7A98" w:rsidP="00FE7A98">
            <w:pPr>
              <w:jc w:val="center"/>
              <w:rPr>
                <w:color w:val="000000"/>
                <w:lang w:val="pt-BR"/>
              </w:rPr>
            </w:pPr>
            <w:r>
              <w:rPr>
                <w:noProof/>
              </w:rPr>
              <w:lastRenderedPageBreak/>
              <w:drawing>
                <wp:inline distT="0" distB="0" distL="0" distR="0" wp14:anchorId="74F0C3B9" wp14:editId="01009DEF">
                  <wp:extent cx="1014095" cy="156337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14095" cy="1563370"/>
                          </a:xfrm>
                          <a:prstGeom prst="rect">
                            <a:avLst/>
                          </a:prstGeom>
                          <a:noFill/>
                          <a:ln>
                            <a:noFill/>
                          </a:ln>
                        </pic:spPr>
                      </pic:pic>
                    </a:graphicData>
                  </a:graphic>
                </wp:inline>
              </w:drawing>
            </w:r>
          </w:p>
        </w:tc>
        <w:tc>
          <w:tcPr>
            <w:tcW w:w="7226" w:type="dxa"/>
          </w:tcPr>
          <w:p w14:paraId="3652FF6C" w14:textId="6B85F815" w:rsidR="00231A19" w:rsidRDefault="00FE7A98" w:rsidP="00A47AD5">
            <w:pPr>
              <w:jc w:val="both"/>
              <w:rPr>
                <w:color w:val="000000"/>
                <w:sz w:val="18"/>
                <w:szCs w:val="18"/>
              </w:rPr>
            </w:pPr>
            <w:r>
              <w:rPr>
                <w:color w:val="000000"/>
                <w:sz w:val="18"/>
                <w:szCs w:val="18"/>
              </w:rPr>
              <w:lastRenderedPageBreak/>
              <w:t xml:space="preserve">Name       </w:t>
            </w:r>
            <w:proofErr w:type="gramStart"/>
            <w:r>
              <w:rPr>
                <w:color w:val="000000"/>
                <w:sz w:val="18"/>
                <w:szCs w:val="18"/>
              </w:rPr>
              <w:t xml:space="preserve">  :</w:t>
            </w:r>
            <w:proofErr w:type="gramEnd"/>
            <w:r>
              <w:rPr>
                <w:color w:val="000000"/>
                <w:sz w:val="18"/>
                <w:szCs w:val="18"/>
              </w:rPr>
              <w:t xml:space="preserve"> </w:t>
            </w:r>
            <w:proofErr w:type="spellStart"/>
            <w:r>
              <w:rPr>
                <w:color w:val="000000"/>
                <w:sz w:val="18"/>
                <w:szCs w:val="18"/>
              </w:rPr>
              <w:t>Diah</w:t>
            </w:r>
            <w:proofErr w:type="spellEnd"/>
            <w:r>
              <w:rPr>
                <w:color w:val="000000"/>
                <w:sz w:val="18"/>
                <w:szCs w:val="18"/>
              </w:rPr>
              <w:t xml:space="preserve"> </w:t>
            </w:r>
            <w:proofErr w:type="spellStart"/>
            <w:r>
              <w:rPr>
                <w:color w:val="000000"/>
                <w:sz w:val="18"/>
                <w:szCs w:val="18"/>
              </w:rPr>
              <w:t>Laras</w:t>
            </w:r>
            <w:proofErr w:type="spellEnd"/>
            <w:r>
              <w:rPr>
                <w:color w:val="000000"/>
                <w:sz w:val="18"/>
                <w:szCs w:val="18"/>
              </w:rPr>
              <w:t xml:space="preserve"> </w:t>
            </w:r>
            <w:proofErr w:type="spellStart"/>
            <w:r>
              <w:rPr>
                <w:color w:val="000000"/>
                <w:sz w:val="18"/>
                <w:szCs w:val="18"/>
              </w:rPr>
              <w:t>Suci</w:t>
            </w:r>
            <w:proofErr w:type="spellEnd"/>
          </w:p>
          <w:p w14:paraId="5E9494AB" w14:textId="10D0436C" w:rsidR="00FE7A98" w:rsidRDefault="00FE7A98" w:rsidP="00A47AD5">
            <w:pPr>
              <w:jc w:val="both"/>
              <w:rPr>
                <w:color w:val="000000"/>
                <w:sz w:val="18"/>
                <w:szCs w:val="18"/>
              </w:rPr>
            </w:pPr>
            <w:r>
              <w:rPr>
                <w:color w:val="000000"/>
                <w:sz w:val="18"/>
                <w:szCs w:val="18"/>
              </w:rPr>
              <w:t xml:space="preserve">Affiliate   </w:t>
            </w:r>
            <w:proofErr w:type="gramStart"/>
            <w:r>
              <w:rPr>
                <w:color w:val="000000"/>
                <w:sz w:val="18"/>
                <w:szCs w:val="18"/>
              </w:rPr>
              <w:t xml:space="preserve">  :</w:t>
            </w:r>
            <w:proofErr w:type="gramEnd"/>
            <w:r>
              <w:rPr>
                <w:color w:val="000000"/>
                <w:sz w:val="18"/>
                <w:szCs w:val="18"/>
              </w:rPr>
              <w:t xml:space="preserve"> Universitas Muhammadiyah Surakarta</w:t>
            </w:r>
          </w:p>
          <w:p w14:paraId="20B74387" w14:textId="4F88F9B4" w:rsidR="00FE7A98" w:rsidRPr="00231A19" w:rsidRDefault="00FE7A98" w:rsidP="00A47AD5">
            <w:pPr>
              <w:jc w:val="both"/>
              <w:rPr>
                <w:color w:val="000000"/>
                <w:sz w:val="18"/>
                <w:szCs w:val="18"/>
              </w:rPr>
            </w:pPr>
            <w:r>
              <w:rPr>
                <w:color w:val="000000"/>
                <w:sz w:val="18"/>
                <w:szCs w:val="18"/>
              </w:rPr>
              <w:lastRenderedPageBreak/>
              <w:t xml:space="preserve">Email       </w:t>
            </w:r>
            <w:proofErr w:type="gramStart"/>
            <w:r>
              <w:rPr>
                <w:color w:val="000000"/>
                <w:sz w:val="18"/>
                <w:szCs w:val="18"/>
              </w:rPr>
              <w:t xml:space="preserve">  :</w:t>
            </w:r>
            <w:proofErr w:type="gramEnd"/>
            <w:r>
              <w:rPr>
                <w:color w:val="000000"/>
                <w:sz w:val="18"/>
                <w:szCs w:val="18"/>
              </w:rPr>
              <w:t xml:space="preserve"> diahlarassuci@gmail.com</w:t>
            </w:r>
          </w:p>
          <w:p w14:paraId="291D9586" w14:textId="77777777" w:rsidR="00F33C08" w:rsidRPr="00231A19" w:rsidRDefault="00F33C08" w:rsidP="00A47AD5">
            <w:pPr>
              <w:rPr>
                <w:color w:val="000000"/>
                <w:lang w:val="pt-BR"/>
              </w:rPr>
            </w:pPr>
          </w:p>
          <w:p w14:paraId="6EFDED80" w14:textId="77777777" w:rsidR="00F33C08" w:rsidRPr="00231A19" w:rsidRDefault="00F33C08" w:rsidP="00A47AD5">
            <w:pPr>
              <w:rPr>
                <w:color w:val="000000"/>
                <w:lang w:val="pt-BR"/>
              </w:rPr>
            </w:pPr>
          </w:p>
          <w:p w14:paraId="1E8D2DB4" w14:textId="77777777" w:rsidR="00F33C08" w:rsidRDefault="00F33C08" w:rsidP="00A47AD5">
            <w:pPr>
              <w:rPr>
                <w:color w:val="000000"/>
                <w:lang w:val="pt-BR"/>
              </w:rPr>
            </w:pPr>
          </w:p>
          <w:p w14:paraId="291F22F1" w14:textId="77777777" w:rsidR="00A47AD5" w:rsidRPr="00231A19" w:rsidRDefault="00A47AD5" w:rsidP="00A47AD5">
            <w:pPr>
              <w:rPr>
                <w:color w:val="000000"/>
                <w:lang w:val="pt-BR"/>
              </w:rPr>
            </w:pPr>
          </w:p>
          <w:p w14:paraId="2A8C3525" w14:textId="77777777" w:rsidR="00231A19" w:rsidRDefault="00231A19" w:rsidP="00A47AD5">
            <w:pPr>
              <w:rPr>
                <w:color w:val="000000"/>
                <w:lang w:val="pt-BR"/>
              </w:rPr>
            </w:pPr>
          </w:p>
          <w:p w14:paraId="5FDF8BC1" w14:textId="77777777" w:rsidR="00A47AD5" w:rsidRPr="00231A19" w:rsidRDefault="00A47AD5" w:rsidP="00A47AD5">
            <w:pPr>
              <w:rPr>
                <w:color w:val="000000"/>
                <w:lang w:val="pt-BR"/>
              </w:rPr>
            </w:pPr>
          </w:p>
        </w:tc>
      </w:tr>
      <w:tr w:rsidR="00A47AD5" w14:paraId="646836DA" w14:textId="77777777" w:rsidTr="00F33C08">
        <w:tc>
          <w:tcPr>
            <w:tcW w:w="1813" w:type="dxa"/>
          </w:tcPr>
          <w:p w14:paraId="348AD61D" w14:textId="77777777" w:rsidR="00A47AD5" w:rsidRPr="00231A19" w:rsidRDefault="00A47AD5" w:rsidP="00A47AD5">
            <w:pPr>
              <w:rPr>
                <w:color w:val="000000"/>
                <w:lang w:val="pt-BR"/>
              </w:rPr>
            </w:pPr>
          </w:p>
        </w:tc>
        <w:tc>
          <w:tcPr>
            <w:tcW w:w="7226" w:type="dxa"/>
          </w:tcPr>
          <w:p w14:paraId="4D44D33A" w14:textId="77777777" w:rsidR="00A47AD5" w:rsidRPr="00231A19" w:rsidRDefault="00A47AD5" w:rsidP="00A47AD5">
            <w:pPr>
              <w:jc w:val="both"/>
              <w:rPr>
                <w:color w:val="000000"/>
                <w:sz w:val="18"/>
                <w:szCs w:val="18"/>
              </w:rPr>
            </w:pPr>
          </w:p>
        </w:tc>
      </w:tr>
      <w:tr w:rsidR="00231A19" w14:paraId="0CE80859" w14:textId="77777777" w:rsidTr="00F33C08">
        <w:tc>
          <w:tcPr>
            <w:tcW w:w="1813" w:type="dxa"/>
          </w:tcPr>
          <w:p w14:paraId="0D0D40C9" w14:textId="77777777" w:rsidR="00231A19" w:rsidRPr="00231A19" w:rsidRDefault="00231A19" w:rsidP="00A47AD5">
            <w:pPr>
              <w:rPr>
                <w:color w:val="000000"/>
                <w:lang w:val="pt-BR"/>
              </w:rPr>
            </w:pPr>
          </w:p>
          <w:p w14:paraId="507B0E99" w14:textId="14FDB81E" w:rsidR="00231A19" w:rsidRDefault="00231A19" w:rsidP="00A47AD5">
            <w:pPr>
              <w:jc w:val="center"/>
              <w:rPr>
                <w:color w:val="000000"/>
                <w:lang w:val="pt-BR"/>
              </w:rPr>
            </w:pPr>
            <w:r w:rsidRPr="00231A19">
              <w:rPr>
                <w:color w:val="000000"/>
                <w:lang w:val="pt-BR"/>
              </w:rPr>
              <w:t xml:space="preserve">Thirth author’s </w:t>
            </w:r>
          </w:p>
          <w:p w14:paraId="44915346" w14:textId="3BC4B098" w:rsidR="00231A19" w:rsidRPr="00231A19" w:rsidRDefault="00FE7A98" w:rsidP="00FE7A98">
            <w:pPr>
              <w:jc w:val="center"/>
              <w:rPr>
                <w:color w:val="000000"/>
                <w:lang w:val="pt-BR"/>
              </w:rPr>
            </w:pPr>
            <w:r>
              <w:rPr>
                <w:noProof/>
              </w:rPr>
              <w:drawing>
                <wp:inline distT="0" distB="0" distL="0" distR="0" wp14:anchorId="4A708F75" wp14:editId="5C9E88CF">
                  <wp:extent cx="1014095" cy="1521460"/>
                  <wp:effectExtent l="0" t="0" r="0" b="254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14095" cy="1521460"/>
                          </a:xfrm>
                          <a:prstGeom prst="rect">
                            <a:avLst/>
                          </a:prstGeom>
                          <a:noFill/>
                          <a:ln>
                            <a:noFill/>
                          </a:ln>
                        </pic:spPr>
                      </pic:pic>
                    </a:graphicData>
                  </a:graphic>
                </wp:inline>
              </w:drawing>
            </w:r>
          </w:p>
        </w:tc>
        <w:tc>
          <w:tcPr>
            <w:tcW w:w="7226" w:type="dxa"/>
          </w:tcPr>
          <w:p w14:paraId="1634858A" w14:textId="2CFA92DC" w:rsidR="00231A19" w:rsidRDefault="00FE7A98" w:rsidP="00A47AD5">
            <w:pPr>
              <w:jc w:val="both"/>
              <w:rPr>
                <w:color w:val="000000"/>
                <w:sz w:val="18"/>
                <w:szCs w:val="18"/>
              </w:rPr>
            </w:pPr>
            <w:r>
              <w:rPr>
                <w:color w:val="000000"/>
                <w:sz w:val="18"/>
                <w:szCs w:val="18"/>
              </w:rPr>
              <w:t xml:space="preserve">Name    </w:t>
            </w:r>
            <w:proofErr w:type="gramStart"/>
            <w:r>
              <w:rPr>
                <w:color w:val="000000"/>
                <w:sz w:val="18"/>
                <w:szCs w:val="18"/>
              </w:rPr>
              <w:t xml:space="preserve">  :</w:t>
            </w:r>
            <w:proofErr w:type="gramEnd"/>
            <w:r>
              <w:rPr>
                <w:color w:val="000000"/>
                <w:sz w:val="18"/>
                <w:szCs w:val="18"/>
              </w:rPr>
              <w:t xml:space="preserve"> Dini </w:t>
            </w:r>
            <w:proofErr w:type="spellStart"/>
            <w:r>
              <w:rPr>
                <w:color w:val="000000"/>
                <w:sz w:val="18"/>
                <w:szCs w:val="18"/>
              </w:rPr>
              <w:t>Wulandari</w:t>
            </w:r>
            <w:proofErr w:type="spellEnd"/>
          </w:p>
          <w:p w14:paraId="23E0D52C" w14:textId="7A7D125C" w:rsidR="00FE7A98" w:rsidRDefault="00FE7A98" w:rsidP="00A47AD5">
            <w:pPr>
              <w:jc w:val="both"/>
              <w:rPr>
                <w:color w:val="000000"/>
                <w:sz w:val="18"/>
                <w:szCs w:val="18"/>
              </w:rPr>
            </w:pPr>
            <w:proofErr w:type="gramStart"/>
            <w:r>
              <w:rPr>
                <w:color w:val="000000"/>
                <w:sz w:val="18"/>
                <w:szCs w:val="18"/>
              </w:rPr>
              <w:t>Affiliate  :</w:t>
            </w:r>
            <w:proofErr w:type="gramEnd"/>
            <w:r>
              <w:rPr>
                <w:color w:val="000000"/>
                <w:sz w:val="18"/>
                <w:szCs w:val="18"/>
              </w:rPr>
              <w:t xml:space="preserve"> Universitas Muhammadiyah Surakarta</w:t>
            </w:r>
          </w:p>
          <w:p w14:paraId="2B363A00" w14:textId="04A4503F" w:rsidR="00FE7A98" w:rsidRPr="00231A19" w:rsidRDefault="00FE7A98" w:rsidP="00A47AD5">
            <w:pPr>
              <w:jc w:val="both"/>
              <w:rPr>
                <w:color w:val="000000"/>
                <w:sz w:val="18"/>
                <w:szCs w:val="18"/>
              </w:rPr>
            </w:pPr>
            <w:r>
              <w:rPr>
                <w:color w:val="000000"/>
                <w:sz w:val="18"/>
                <w:szCs w:val="18"/>
              </w:rPr>
              <w:t xml:space="preserve">Email      : </w:t>
            </w:r>
            <w:r w:rsidR="006D0B83">
              <w:rPr>
                <w:color w:val="000000"/>
                <w:sz w:val="18"/>
                <w:szCs w:val="18"/>
              </w:rPr>
              <w:t>diniwulandari477@gmail.com</w:t>
            </w:r>
          </w:p>
          <w:p w14:paraId="77F3C231" w14:textId="77777777" w:rsidR="00F33C08" w:rsidRPr="00231A19" w:rsidRDefault="00F33C08" w:rsidP="00A47AD5">
            <w:pPr>
              <w:rPr>
                <w:color w:val="000000"/>
                <w:lang w:val="pt-BR"/>
              </w:rPr>
            </w:pPr>
          </w:p>
          <w:p w14:paraId="5D6DC171" w14:textId="77777777" w:rsidR="00F33C08" w:rsidRDefault="00F33C08" w:rsidP="00A47AD5">
            <w:pPr>
              <w:rPr>
                <w:color w:val="000000"/>
                <w:lang w:val="pt-BR"/>
              </w:rPr>
            </w:pPr>
          </w:p>
          <w:p w14:paraId="56A2FEC4" w14:textId="77777777" w:rsidR="00A47AD5" w:rsidRDefault="00A47AD5" w:rsidP="00A47AD5">
            <w:pPr>
              <w:rPr>
                <w:color w:val="000000"/>
                <w:lang w:val="pt-BR"/>
              </w:rPr>
            </w:pPr>
          </w:p>
          <w:p w14:paraId="46148290" w14:textId="77777777" w:rsidR="00A47AD5" w:rsidRPr="00231A19" w:rsidRDefault="00A47AD5" w:rsidP="00A47AD5">
            <w:pPr>
              <w:rPr>
                <w:color w:val="000000"/>
                <w:lang w:val="pt-BR"/>
              </w:rPr>
            </w:pPr>
          </w:p>
          <w:p w14:paraId="1BE1B498" w14:textId="77777777" w:rsidR="00F33C08" w:rsidRPr="00231A19" w:rsidRDefault="00F33C08" w:rsidP="00A47AD5">
            <w:pPr>
              <w:rPr>
                <w:color w:val="000000"/>
                <w:lang w:val="pt-BR"/>
              </w:rPr>
            </w:pPr>
          </w:p>
          <w:p w14:paraId="3CD9DC5F" w14:textId="77777777" w:rsidR="00231A19" w:rsidRPr="00231A19" w:rsidRDefault="00231A19" w:rsidP="00A47AD5">
            <w:pPr>
              <w:rPr>
                <w:color w:val="000000"/>
                <w:lang w:val="pt-BR"/>
              </w:rPr>
            </w:pPr>
          </w:p>
        </w:tc>
      </w:tr>
    </w:tbl>
    <w:p w14:paraId="3C94FE06" w14:textId="77777777" w:rsidR="00231A19" w:rsidRPr="00A50ADF" w:rsidRDefault="00231A19" w:rsidP="00231A19">
      <w:pPr>
        <w:jc w:val="both"/>
        <w:rPr>
          <w:color w:val="000000"/>
          <w:sz w:val="18"/>
          <w:szCs w:val="18"/>
          <w:lang w:val="en-ID"/>
        </w:rPr>
      </w:pPr>
    </w:p>
    <w:sectPr w:rsidR="00231A19" w:rsidRPr="00A50ADF" w:rsidSect="0085352C">
      <w:headerReference w:type="even" r:id="rId13"/>
      <w:headerReference w:type="default" r:id="rId14"/>
      <w:footerReference w:type="even" r:id="rId15"/>
      <w:footerReference w:type="default" r:id="rId16"/>
      <w:headerReference w:type="first" r:id="rId17"/>
      <w:footerReference w:type="first" r:id="rId18"/>
      <w:pgSz w:w="11907" w:h="16840" w:code="9"/>
      <w:pgMar w:top="1418" w:right="1418" w:bottom="1418" w:left="1701" w:header="1134" w:footer="1134" w:gutter="0"/>
      <w:pgNumType w:start="10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443231" w14:textId="77777777" w:rsidR="00FA1149" w:rsidRDefault="00FA1149">
      <w:r>
        <w:separator/>
      </w:r>
    </w:p>
  </w:endnote>
  <w:endnote w:type="continuationSeparator" w:id="0">
    <w:p w14:paraId="4859A0BD" w14:textId="77777777" w:rsidR="00FA1149" w:rsidRDefault="00FA11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charset w:val="B2"/>
    <w:family w:val="roman"/>
    <w:pitch w:val="variable"/>
    <w:sig w:usb0="00002003" w:usb1="80000000" w:usb2="00000008" w:usb3="00000000" w:csb0="00000041" w:csb1="00000000"/>
  </w:font>
  <w:font w:name="Palatino">
    <w:altName w:val="Book Antiqu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5EA2B" w14:textId="77777777" w:rsidR="00097958" w:rsidRPr="003D5B84" w:rsidRDefault="00050148" w:rsidP="00C07BEF">
    <w:pPr>
      <w:pStyle w:val="Header"/>
      <w:tabs>
        <w:tab w:val="clear" w:pos="4320"/>
        <w:tab w:val="clear" w:pos="8640"/>
        <w:tab w:val="left" w:pos="2992"/>
      </w:tabs>
      <w:spacing w:before="240"/>
    </w:pPr>
    <w:r>
      <w:rPr>
        <w:noProof/>
        <w:lang w:val="en-AU" w:eastAsia="en-AU"/>
      </w:rPr>
      <mc:AlternateContent>
        <mc:Choice Requires="wps">
          <w:drawing>
            <wp:anchor distT="0" distB="0" distL="114300" distR="114300" simplePos="0" relativeHeight="251659264" behindDoc="0" locked="0" layoutInCell="1" allowOverlap="1" wp14:anchorId="7E6A6CF0" wp14:editId="53E21C03">
              <wp:simplePos x="0" y="0"/>
              <wp:positionH relativeFrom="column">
                <wp:posOffset>-12065</wp:posOffset>
              </wp:positionH>
              <wp:positionV relativeFrom="paragraph">
                <wp:posOffset>145415</wp:posOffset>
              </wp:positionV>
              <wp:extent cx="5580380" cy="0"/>
              <wp:effectExtent l="6985" t="12065" r="13335" b="698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803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3A9FB8" id="Line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pt,11.45pt" to="438.4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"/>
          </w:pict>
        </mc:Fallback>
      </mc:AlternateContent>
    </w:r>
    <w:r w:rsidR="00164D27" w:rsidRPr="00164D27">
      <w:t xml:space="preserve"> </w:t>
    </w:r>
    <w:r w:rsidR="00C2651C">
      <w:rPr>
        <w:noProof/>
      </w:rPr>
      <w:t>Int</w:t>
    </w:r>
    <w:r w:rsidR="007E6842">
      <w:rPr>
        <w:noProof/>
      </w:rPr>
      <w:t>.</w:t>
    </w:r>
    <w:r w:rsidR="00C2651C">
      <w:rPr>
        <w:noProof/>
      </w:rPr>
      <w:t xml:space="preserve"> J</w:t>
    </w:r>
    <w:r w:rsidR="007E6842">
      <w:rPr>
        <w:noProof/>
      </w:rPr>
      <w:t>.</w:t>
    </w:r>
    <w:r w:rsidR="00C2651C">
      <w:rPr>
        <w:noProof/>
      </w:rPr>
      <w:t xml:space="preserve"> Public Health Sci,</w:t>
    </w:r>
    <w:r w:rsidR="00164D27" w:rsidRPr="00164D27">
      <w:rPr>
        <w:noProof/>
      </w:rPr>
      <w:t xml:space="preserve"> Vol. x, No. x, March 20</w:t>
    </w:r>
    <w:r w:rsidR="00BD6CF8">
      <w:rPr>
        <w:noProof/>
      </w:rPr>
      <w:t>2</w:t>
    </w:r>
    <w:r w:rsidR="00513610">
      <w:rPr>
        <w:noProof/>
      </w:rPr>
      <w:t>0</w:t>
    </w:r>
    <w:r w:rsidR="00164D27" w:rsidRPr="00164D27">
      <w:rPr>
        <w:noProof/>
      </w:rPr>
      <w:t>:  xx – xx</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17D90" w14:textId="77777777" w:rsidR="00097958" w:rsidRPr="00C07BEF" w:rsidRDefault="00EE10AE" w:rsidP="0094367D">
    <w:pPr>
      <w:pStyle w:val="Footer"/>
      <w:pBdr>
        <w:top w:val="single" w:sz="4" w:space="1" w:color="auto"/>
      </w:pBdr>
      <w:jc w:val="right"/>
      <w:rPr>
        <w:i/>
      </w:rPr>
    </w:pPr>
    <w:r w:rsidRPr="00C07BEF">
      <w:rPr>
        <w:i/>
      </w:rPr>
      <w:t>Title of manuscript is short and clear, implies research results (First Author)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1E1FA" w14:textId="77777777" w:rsidR="00097958" w:rsidRPr="00164D27" w:rsidRDefault="00164D27" w:rsidP="00C07BEF">
    <w:pPr>
      <w:pStyle w:val="Footer"/>
      <w:pBdr>
        <w:top w:val="single" w:sz="4" w:space="1" w:color="auto"/>
      </w:pBdr>
      <w:spacing w:before="240"/>
      <w:rPr>
        <w:i/>
        <w:szCs w:val="18"/>
      </w:rPr>
    </w:pPr>
    <w:r w:rsidRPr="00164D27">
      <w:rPr>
        <w:i/>
        <w:szCs w:val="18"/>
      </w:rPr>
      <w:t xml:space="preserve">Journal homepage: </w:t>
    </w:r>
    <w:r w:rsidR="008B0265" w:rsidRPr="006E0B0C">
      <w:rPr>
        <w:i/>
        <w:lang w:val="id-ID"/>
      </w:rPr>
      <w:t>http://ijphs.iaescore.com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8EE167" w14:textId="77777777" w:rsidR="00FA1149" w:rsidRDefault="00FA1149">
      <w:r>
        <w:separator/>
      </w:r>
    </w:p>
  </w:footnote>
  <w:footnote w:type="continuationSeparator" w:id="0">
    <w:p w14:paraId="09E65EFF" w14:textId="77777777" w:rsidR="00FA1149" w:rsidRDefault="00FA11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8E24E" w14:textId="77777777" w:rsidR="00097958" w:rsidRPr="003D5B84" w:rsidRDefault="00C3666D" w:rsidP="008B04B3">
    <w:pPr>
      <w:pStyle w:val="Header"/>
      <w:framePr w:wrap="around" w:vAnchor="text" w:hAnchor="margin" w:xAlign="outside" w:y="1"/>
      <w:rPr>
        <w:rStyle w:val="PageNumber"/>
      </w:rPr>
    </w:pPr>
    <w:r w:rsidRPr="003D5B84">
      <w:rPr>
        <w:rStyle w:val="PageNumber"/>
      </w:rPr>
      <w:fldChar w:fldCharType="begin"/>
    </w:r>
    <w:r w:rsidR="00097958" w:rsidRPr="003D5B84">
      <w:rPr>
        <w:rStyle w:val="PageNumber"/>
      </w:rPr>
      <w:instrText xml:space="preserve">PAGE  </w:instrText>
    </w:r>
    <w:r w:rsidRPr="003D5B84">
      <w:rPr>
        <w:rStyle w:val="PageNumber"/>
      </w:rPr>
      <w:fldChar w:fldCharType="separate"/>
    </w:r>
    <w:r w:rsidR="007E6842">
      <w:rPr>
        <w:rStyle w:val="PageNumber"/>
        <w:noProof/>
      </w:rPr>
      <w:t>102</w:t>
    </w:r>
    <w:r w:rsidRPr="003D5B84">
      <w:rPr>
        <w:rStyle w:val="PageNumber"/>
      </w:rPr>
      <w:fldChar w:fldCharType="end"/>
    </w:r>
  </w:p>
  <w:p w14:paraId="595EC1B2" w14:textId="77777777" w:rsidR="00097958" w:rsidRPr="003D5B84" w:rsidRDefault="00050148" w:rsidP="00C07BEF">
    <w:pPr>
      <w:pStyle w:val="Header"/>
      <w:tabs>
        <w:tab w:val="clear" w:pos="4320"/>
        <w:tab w:val="clear" w:pos="8640"/>
        <w:tab w:val="right" w:pos="851"/>
        <w:tab w:val="left" w:pos="3405"/>
        <w:tab w:val="right" w:pos="8789"/>
      </w:tabs>
      <w:spacing w:after="240"/>
    </w:pPr>
    <w:r>
      <w:rPr>
        <w:noProof/>
        <w:lang w:val="en-AU" w:eastAsia="en-AU"/>
      </w:rPr>
      <mc:AlternateContent>
        <mc:Choice Requires="wps">
          <w:drawing>
            <wp:anchor distT="0" distB="0" distL="114300" distR="114300" simplePos="0" relativeHeight="251658240" behindDoc="0" locked="0" layoutInCell="1" allowOverlap="1" wp14:anchorId="5D12D285" wp14:editId="36232C62">
              <wp:simplePos x="0" y="0"/>
              <wp:positionH relativeFrom="column">
                <wp:posOffset>23495</wp:posOffset>
              </wp:positionH>
              <wp:positionV relativeFrom="paragraph">
                <wp:posOffset>182880</wp:posOffset>
              </wp:positionV>
              <wp:extent cx="5544820" cy="0"/>
              <wp:effectExtent l="13970" t="11430" r="13335" b="7620"/>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482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23B1063" id="_x0000_t32" coordsize="21600,21600" o:spt="32" o:oned="t" path="m,l21600,21600e" filled="f">
              <v:path arrowok="t" fillok="f" o:connecttype="none"/>
              <o:lock v:ext="edit" shapetype="t"/>
            </v:shapetype>
            <v:shape id="AutoShape 7" o:spid="_x0000_s1026" type="#_x0000_t32" style="position:absolute;margin-left:1.85pt;margin-top:14.4pt;width:436.6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" strokeweight="1pt"/>
          </w:pict>
        </mc:Fallback>
      </mc:AlternateContent>
    </w:r>
    <w:r w:rsidR="00E5155C" w:rsidRPr="003D5B84">
      <w:t xml:space="preserve">     </w:t>
    </w:r>
    <w:r w:rsidR="00E5155C" w:rsidRPr="003D5B84">
      <w:tab/>
    </w:r>
    <w:r w:rsidR="00C854C1">
      <w:sym w:font="Wingdings" w:char="F072"/>
    </w:r>
    <w:r w:rsidR="00097958" w:rsidRPr="003D5B84">
      <w:t xml:space="preserve"> </w:t>
    </w:r>
    <w:r w:rsidR="00097958" w:rsidRPr="003D5B84">
      <w:tab/>
    </w:r>
    <w:r w:rsidR="003D5B84" w:rsidRPr="003D5B84">
      <w:tab/>
    </w:r>
    <w:r w:rsidR="00097958" w:rsidRPr="003D5B84">
      <w:t xml:space="preserve">       </w:t>
    </w:r>
    <w:r w:rsidR="00164D27" w:rsidRPr="00164D27">
      <w:t xml:space="preserve">       ISSN: 2252-8806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D85FF" w14:textId="77777777" w:rsidR="00097958" w:rsidRPr="003D5B84" w:rsidRDefault="00C3666D" w:rsidP="00F173DD">
    <w:pPr>
      <w:pStyle w:val="Header"/>
      <w:framePr w:wrap="around" w:vAnchor="text" w:hAnchor="margin" w:xAlign="outside" w:y="1"/>
      <w:rPr>
        <w:rStyle w:val="PageNumber"/>
      </w:rPr>
    </w:pPr>
    <w:r w:rsidRPr="003D5B84">
      <w:rPr>
        <w:rStyle w:val="PageNumber"/>
      </w:rPr>
      <w:fldChar w:fldCharType="begin"/>
    </w:r>
    <w:r w:rsidR="00097958" w:rsidRPr="003D5B84">
      <w:rPr>
        <w:rStyle w:val="PageNumber"/>
      </w:rPr>
      <w:instrText xml:space="preserve">PAGE  </w:instrText>
    </w:r>
    <w:r w:rsidRPr="003D5B84">
      <w:rPr>
        <w:rStyle w:val="PageNumber"/>
      </w:rPr>
      <w:fldChar w:fldCharType="separate"/>
    </w:r>
    <w:r w:rsidR="007E6842">
      <w:rPr>
        <w:rStyle w:val="PageNumber"/>
        <w:noProof/>
      </w:rPr>
      <w:t>103</w:t>
    </w:r>
    <w:r w:rsidRPr="003D5B84">
      <w:rPr>
        <w:rStyle w:val="PageNumber"/>
      </w:rPr>
      <w:fldChar w:fldCharType="end"/>
    </w:r>
  </w:p>
  <w:p w14:paraId="741A7242" w14:textId="77777777" w:rsidR="00097958" w:rsidRPr="003D5B84" w:rsidRDefault="00513610" w:rsidP="00C07BEF">
    <w:pPr>
      <w:pStyle w:val="Header"/>
      <w:pBdr>
        <w:bottom w:val="single" w:sz="4" w:space="1" w:color="auto"/>
      </w:pBdr>
      <w:tabs>
        <w:tab w:val="clear" w:pos="4320"/>
        <w:tab w:val="clear" w:pos="8640"/>
        <w:tab w:val="left" w:pos="0"/>
        <w:tab w:val="center" w:pos="4301"/>
        <w:tab w:val="left" w:pos="7938"/>
      </w:tabs>
    </w:pPr>
    <w:r>
      <w:rPr>
        <w:noProof/>
      </w:rPr>
      <w:t>Int</w:t>
    </w:r>
    <w:r w:rsidR="007E6842">
      <w:rPr>
        <w:noProof/>
      </w:rPr>
      <w:t>.</w:t>
    </w:r>
    <w:r>
      <w:rPr>
        <w:noProof/>
      </w:rPr>
      <w:t xml:space="preserve"> J</w:t>
    </w:r>
    <w:r w:rsidR="007E6842">
      <w:rPr>
        <w:noProof/>
      </w:rPr>
      <w:t>.</w:t>
    </w:r>
    <w:r>
      <w:rPr>
        <w:noProof/>
      </w:rPr>
      <w:t xml:space="preserve"> Public Health Sci</w:t>
    </w:r>
    <w:r w:rsidR="00097958" w:rsidRPr="003D5B84">
      <w:tab/>
    </w:r>
    <w:r w:rsidR="00164D27" w:rsidRPr="00164D27">
      <w:t>ISSN: 2252-8806</w:t>
    </w:r>
    <w:r w:rsidR="00EF1185" w:rsidRPr="003D5B84">
      <w:tab/>
    </w:r>
    <w:r w:rsidR="00C854C1">
      <w:sym w:font="Wingdings" w:char="F072"/>
    </w:r>
  </w:p>
  <w:p w14:paraId="359E3A19" w14:textId="77777777" w:rsidR="00097958" w:rsidRPr="003D5B84" w:rsidRDefault="00097958" w:rsidP="0094367D">
    <w:pPr>
      <w:pStyle w:val="Header"/>
      <w:ind w:right="360"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12440" w14:textId="77777777" w:rsidR="00164D27" w:rsidRPr="003D5B84" w:rsidRDefault="00164D27" w:rsidP="00164D27">
    <w:pPr>
      <w:pStyle w:val="Header"/>
      <w:tabs>
        <w:tab w:val="clear" w:pos="4320"/>
        <w:tab w:val="clear" w:pos="8640"/>
      </w:tabs>
      <w:ind w:right="45"/>
      <w:rPr>
        <w:b/>
      </w:rPr>
    </w:pPr>
    <w:r w:rsidRPr="00793D8D">
      <w:rPr>
        <w:b/>
      </w:rPr>
      <w:t>International Journal of</w:t>
    </w:r>
    <w:r>
      <w:rPr>
        <w:b/>
      </w:rPr>
      <w:t xml:space="preserve"> </w:t>
    </w:r>
    <w:r w:rsidRPr="00C34FF6">
      <w:rPr>
        <w:b/>
      </w:rPr>
      <w:t>Public Health Science (IJPHS)</w:t>
    </w:r>
  </w:p>
  <w:p w14:paraId="75B881F0" w14:textId="77777777" w:rsidR="00164D27" w:rsidRPr="003D5B84" w:rsidRDefault="00164D27" w:rsidP="00164D27">
    <w:pPr>
      <w:pStyle w:val="Header"/>
      <w:tabs>
        <w:tab w:val="clear" w:pos="4320"/>
        <w:tab w:val="clear" w:pos="8640"/>
      </w:tabs>
      <w:ind w:right="45"/>
    </w:pPr>
    <w:r w:rsidRPr="003D5B84">
      <w:t>Vol.</w:t>
    </w:r>
    <w:r>
      <w:t xml:space="preserve"> x</w:t>
    </w:r>
    <w:r w:rsidRPr="003D5B84">
      <w:t>, No.</w:t>
    </w:r>
    <w:r w:rsidR="00C94EDA">
      <w:t xml:space="preserve"> x, March 202</w:t>
    </w:r>
    <w:r w:rsidR="00C2651C">
      <w:t>0</w:t>
    </w:r>
    <w:r w:rsidRPr="003D5B84">
      <w:t xml:space="preserve">, pp. </w:t>
    </w:r>
    <w:proofErr w:type="spellStart"/>
    <w:r w:rsidRPr="003D5B84">
      <w:t>xx~xx</w:t>
    </w:r>
    <w:proofErr w:type="spellEnd"/>
  </w:p>
  <w:p w14:paraId="425DDA76" w14:textId="6F636F86" w:rsidR="00097958" w:rsidRPr="003D5B84" w:rsidRDefault="00164D27" w:rsidP="00164D27">
    <w:pPr>
      <w:pStyle w:val="Header"/>
      <w:tabs>
        <w:tab w:val="clear" w:pos="4320"/>
        <w:tab w:val="clear" w:pos="8640"/>
        <w:tab w:val="left" w:pos="7938"/>
        <w:tab w:val="right" w:pos="8789"/>
      </w:tabs>
      <w:rPr>
        <w:rStyle w:val="PageNumber"/>
      </w:rPr>
    </w:pPr>
    <w:r>
      <w:t>ISSN: 2252-8806,</w:t>
    </w:r>
    <w:r w:rsidRPr="00510EA6">
      <w:t xml:space="preserve"> </w:t>
    </w:r>
    <w:r>
      <w:t>DOI: 10.11591/ijphs.vxix.</w:t>
    </w:r>
    <w:r w:rsidR="0073769F">
      <w:t>id</w:t>
    </w:r>
    <w:r w:rsidR="008B060F" w:rsidRPr="003D5B84">
      <w:tab/>
    </w:r>
    <w:r w:rsidR="00C854C1">
      <w:sym w:font="Wingdings" w:char="F072"/>
    </w:r>
    <w:r w:rsidR="00097958" w:rsidRPr="003D5B84">
      <w:t xml:space="preserve">   </w:t>
    </w:r>
    <w:r w:rsidR="00855965" w:rsidRPr="003D5B84">
      <w:t xml:space="preserve"> </w:t>
    </w:r>
    <w:r w:rsidR="00E5155C" w:rsidRPr="003D5B84">
      <w:tab/>
    </w:r>
    <w:r w:rsidR="00096BC2">
      <w:rPr>
        <w:rStyle w:val="PageNumber"/>
      </w:rPr>
      <w:t>xx</w:t>
    </w:r>
  </w:p>
  <w:p w14:paraId="2592A787" w14:textId="77777777" w:rsidR="00097958" w:rsidRPr="003D5B84" w:rsidRDefault="00050148" w:rsidP="008B04B3">
    <w:pPr>
      <w:pStyle w:val="Header"/>
      <w:tabs>
        <w:tab w:val="clear" w:pos="4320"/>
        <w:tab w:val="clear" w:pos="8640"/>
      </w:tabs>
      <w:ind w:right="45"/>
      <w:jc w:val="right"/>
      <w:rPr>
        <w:rStyle w:val="PageNumber"/>
      </w:rPr>
    </w:pPr>
    <w:r>
      <w:rPr>
        <w:noProof/>
        <w:lang w:val="en-AU" w:eastAsia="en-AU"/>
      </w:rPr>
      <mc:AlternateContent>
        <mc:Choice Requires="wps">
          <w:drawing>
            <wp:anchor distT="0" distB="0" distL="114300" distR="114300" simplePos="0" relativeHeight="251656192" behindDoc="0" locked="0" layoutInCell="1" allowOverlap="1" wp14:anchorId="24597D6D" wp14:editId="182D8C60">
              <wp:simplePos x="0" y="0"/>
              <wp:positionH relativeFrom="column">
                <wp:posOffset>4445</wp:posOffset>
              </wp:positionH>
              <wp:positionV relativeFrom="paragraph">
                <wp:posOffset>40005</wp:posOffset>
              </wp:positionV>
              <wp:extent cx="5601970" cy="0"/>
              <wp:effectExtent l="13970" t="11430" r="13335" b="762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197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26C8152" id="_x0000_t32" coordsize="21600,21600" o:spt="32" o:oned="t" path="m,l21600,21600e" filled="f">
              <v:path arrowok="t" fillok="f" o:connecttype="none"/>
              <o:lock v:ext="edit" shapetype="t"/>
            </v:shapetype>
            <v:shape id="AutoShape 6" o:spid="_x0000_s1026" type="#_x0000_t32" style="position:absolute;margin-left:.35pt;margin-top:3.15pt;width:441.1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" strokeweight="1pt"/>
          </w:pict>
        </mc:Fallback>
      </mc:AlternateContent>
    </w:r>
    <w:r w:rsidR="00097958" w:rsidRPr="003D5B84">
      <w:rPr>
        <w:rStyle w:val="PageNumber"/>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DE670CC"/>
    <w:multiLevelType w:val="hybridMultilevel"/>
    <w:tmpl w:val="9F306BE0"/>
    <w:lvl w:ilvl="0" w:tplc="D96EDC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3206145"/>
    <w:multiLevelType w:val="hybridMultilevel"/>
    <w:tmpl w:val="9FA63910"/>
    <w:lvl w:ilvl="0" w:tplc="5E7C2D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10" w15:restartNumberingAfterBreak="0">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14" w15:restartNumberingAfterBreak="0">
    <w:nsid w:val="65A23480"/>
    <w:multiLevelType w:val="hybridMultilevel"/>
    <w:tmpl w:val="E53CC32E"/>
    <w:lvl w:ilvl="0" w:tplc="9264B2C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458"/>
        </w:tabs>
        <w:ind w:left="-458" w:hanging="360"/>
      </w:pPr>
    </w:lvl>
    <w:lvl w:ilvl="2" w:tplc="0409001B" w:tentative="1">
      <w:start w:val="1"/>
      <w:numFmt w:val="lowerRoman"/>
      <w:lvlText w:val="%3."/>
      <w:lvlJc w:val="right"/>
      <w:pPr>
        <w:tabs>
          <w:tab w:val="num" w:pos="262"/>
        </w:tabs>
        <w:ind w:left="262" w:hanging="180"/>
      </w:pPr>
    </w:lvl>
    <w:lvl w:ilvl="3" w:tplc="0409000F" w:tentative="1">
      <w:start w:val="1"/>
      <w:numFmt w:val="decimal"/>
      <w:lvlText w:val="%4."/>
      <w:lvlJc w:val="left"/>
      <w:pPr>
        <w:tabs>
          <w:tab w:val="num" w:pos="982"/>
        </w:tabs>
        <w:ind w:left="982" w:hanging="360"/>
      </w:pPr>
    </w:lvl>
    <w:lvl w:ilvl="4" w:tplc="04090019" w:tentative="1">
      <w:start w:val="1"/>
      <w:numFmt w:val="lowerLetter"/>
      <w:lvlText w:val="%5."/>
      <w:lvlJc w:val="left"/>
      <w:pPr>
        <w:tabs>
          <w:tab w:val="num" w:pos="1702"/>
        </w:tabs>
        <w:ind w:left="1702" w:hanging="360"/>
      </w:pPr>
    </w:lvl>
    <w:lvl w:ilvl="5" w:tplc="0409001B" w:tentative="1">
      <w:start w:val="1"/>
      <w:numFmt w:val="lowerRoman"/>
      <w:lvlText w:val="%6."/>
      <w:lvlJc w:val="right"/>
      <w:pPr>
        <w:tabs>
          <w:tab w:val="num" w:pos="2422"/>
        </w:tabs>
        <w:ind w:left="2422" w:hanging="180"/>
      </w:pPr>
    </w:lvl>
    <w:lvl w:ilvl="6" w:tplc="0409000F" w:tentative="1">
      <w:start w:val="1"/>
      <w:numFmt w:val="decimal"/>
      <w:lvlText w:val="%7."/>
      <w:lvlJc w:val="left"/>
      <w:pPr>
        <w:tabs>
          <w:tab w:val="num" w:pos="3142"/>
        </w:tabs>
        <w:ind w:left="3142" w:hanging="360"/>
      </w:pPr>
    </w:lvl>
    <w:lvl w:ilvl="7" w:tplc="04090019" w:tentative="1">
      <w:start w:val="1"/>
      <w:numFmt w:val="lowerLetter"/>
      <w:lvlText w:val="%8."/>
      <w:lvlJc w:val="left"/>
      <w:pPr>
        <w:tabs>
          <w:tab w:val="num" w:pos="3862"/>
        </w:tabs>
        <w:ind w:left="3862" w:hanging="360"/>
      </w:pPr>
    </w:lvl>
    <w:lvl w:ilvl="8" w:tplc="0409001B" w:tentative="1">
      <w:start w:val="1"/>
      <w:numFmt w:val="lowerRoman"/>
      <w:lvlText w:val="%9."/>
      <w:lvlJc w:val="right"/>
      <w:pPr>
        <w:tabs>
          <w:tab w:val="num" w:pos="4582"/>
        </w:tabs>
        <w:ind w:left="4582" w:hanging="180"/>
      </w:pPr>
    </w:lvl>
  </w:abstractNum>
  <w:abstractNum w:abstractNumId="15" w15:restartNumberingAfterBreak="0">
    <w:nsid w:val="6AE51428"/>
    <w:multiLevelType w:val="hybridMultilevel"/>
    <w:tmpl w:val="82A45B52"/>
    <w:lvl w:ilvl="0" w:tplc="A1C8FD50">
      <w:start w:val="1"/>
      <w:numFmt w:val="decimal"/>
      <w:lvlText w:val="[%1]"/>
      <w:lvlJc w:val="left"/>
      <w:pPr>
        <w:ind w:left="720" w:hanging="360"/>
      </w:pPr>
      <w:rPr>
        <w:rFonts w:ascii="Times New Roman" w:hAnsi="Times New Roman"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B0A3B17"/>
    <w:multiLevelType w:val="hybridMultilevel"/>
    <w:tmpl w:val="81B8EEB4"/>
    <w:lvl w:ilvl="0" w:tplc="DE86784C">
      <w:start w:val="1"/>
      <w:numFmt w:val="decimal"/>
      <w:lvlText w:val="%1."/>
      <w:lvlJc w:val="left"/>
      <w:pPr>
        <w:ind w:left="720" w:hanging="360"/>
      </w:pPr>
      <w:rPr>
        <w:rFonts w:ascii="Times New Roman" w:hAnsi="Times New Roman"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num w:numId="1">
    <w:abstractNumId w:val="13"/>
  </w:num>
  <w:num w:numId="2">
    <w:abstractNumId w:val="9"/>
  </w:num>
  <w:num w:numId="3">
    <w:abstractNumId w:val="17"/>
  </w:num>
  <w:num w:numId="4">
    <w:abstractNumId w:val="8"/>
  </w:num>
  <w:num w:numId="5">
    <w:abstractNumId w:val="11"/>
  </w:num>
  <w:num w:numId="6">
    <w:abstractNumId w:val="14"/>
  </w:num>
  <w:num w:numId="7">
    <w:abstractNumId w:val="12"/>
  </w:num>
  <w:num w:numId="8">
    <w:abstractNumId w:val="10"/>
  </w:num>
  <w:num w:numId="9">
    <w:abstractNumId w:val="6"/>
  </w:num>
  <w:num w:numId="10">
    <w:abstractNumId w:val="1"/>
  </w:num>
  <w:num w:numId="11">
    <w:abstractNumId w:val="0"/>
  </w:num>
  <w:num w:numId="12">
    <w:abstractNumId w:val="3"/>
  </w:num>
  <w:num w:numId="13">
    <w:abstractNumId w:val="2"/>
  </w:num>
  <w:num w:numId="14">
    <w:abstractNumId w:val="4"/>
  </w:num>
  <w:num w:numId="15">
    <w:abstractNumId w:val="16"/>
  </w:num>
  <w:num w:numId="16">
    <w:abstractNumId w:val="5"/>
  </w:num>
  <w:num w:numId="17">
    <w:abstractNumId w:val="15"/>
  </w:num>
  <w:num w:numId="18">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NLc0MzS2tLQwMzC2MLFU0lEKTi0uzszPAykwqgUAAMHB1SwAAAA="/>
  </w:docVars>
  <w:rsids>
    <w:rsidRoot w:val="007D0AC6"/>
    <w:rsid w:val="000013CF"/>
    <w:rsid w:val="00001839"/>
    <w:rsid w:val="00002882"/>
    <w:rsid w:val="0000385F"/>
    <w:rsid w:val="00005EFC"/>
    <w:rsid w:val="00006785"/>
    <w:rsid w:val="00007744"/>
    <w:rsid w:val="00010419"/>
    <w:rsid w:val="000106D0"/>
    <w:rsid w:val="00012CEF"/>
    <w:rsid w:val="00014633"/>
    <w:rsid w:val="00015F2A"/>
    <w:rsid w:val="00017858"/>
    <w:rsid w:val="000223D4"/>
    <w:rsid w:val="00022D47"/>
    <w:rsid w:val="0002698B"/>
    <w:rsid w:val="00027142"/>
    <w:rsid w:val="000279BE"/>
    <w:rsid w:val="00034C84"/>
    <w:rsid w:val="000416A3"/>
    <w:rsid w:val="000437AE"/>
    <w:rsid w:val="00044129"/>
    <w:rsid w:val="000442C6"/>
    <w:rsid w:val="000474E3"/>
    <w:rsid w:val="00047710"/>
    <w:rsid w:val="00050148"/>
    <w:rsid w:val="00050676"/>
    <w:rsid w:val="000523C5"/>
    <w:rsid w:val="00053FB7"/>
    <w:rsid w:val="0006020A"/>
    <w:rsid w:val="00060330"/>
    <w:rsid w:val="00060F5C"/>
    <w:rsid w:val="00061D77"/>
    <w:rsid w:val="00062720"/>
    <w:rsid w:val="00065191"/>
    <w:rsid w:val="00066063"/>
    <w:rsid w:val="0007154C"/>
    <w:rsid w:val="0007236F"/>
    <w:rsid w:val="00073422"/>
    <w:rsid w:val="00073635"/>
    <w:rsid w:val="00076C16"/>
    <w:rsid w:val="000776D4"/>
    <w:rsid w:val="00080CCD"/>
    <w:rsid w:val="000830A2"/>
    <w:rsid w:val="00083B9D"/>
    <w:rsid w:val="00083DD6"/>
    <w:rsid w:val="00085121"/>
    <w:rsid w:val="00086551"/>
    <w:rsid w:val="000877AC"/>
    <w:rsid w:val="00087876"/>
    <w:rsid w:val="00087AF7"/>
    <w:rsid w:val="00090B78"/>
    <w:rsid w:val="00091730"/>
    <w:rsid w:val="00093380"/>
    <w:rsid w:val="00094EB8"/>
    <w:rsid w:val="00095C3E"/>
    <w:rsid w:val="00096883"/>
    <w:rsid w:val="00096BC2"/>
    <w:rsid w:val="000973CC"/>
    <w:rsid w:val="000976A7"/>
    <w:rsid w:val="00097958"/>
    <w:rsid w:val="00097E2D"/>
    <w:rsid w:val="000A15DA"/>
    <w:rsid w:val="000A592D"/>
    <w:rsid w:val="000A643C"/>
    <w:rsid w:val="000A7ACA"/>
    <w:rsid w:val="000B0613"/>
    <w:rsid w:val="000B0641"/>
    <w:rsid w:val="000B1AEE"/>
    <w:rsid w:val="000B5480"/>
    <w:rsid w:val="000B682B"/>
    <w:rsid w:val="000C03DA"/>
    <w:rsid w:val="000C1E7F"/>
    <w:rsid w:val="000C4B17"/>
    <w:rsid w:val="000C730A"/>
    <w:rsid w:val="000D099B"/>
    <w:rsid w:val="000D50C8"/>
    <w:rsid w:val="000D6591"/>
    <w:rsid w:val="000D67F7"/>
    <w:rsid w:val="000D6BC3"/>
    <w:rsid w:val="000E0AE1"/>
    <w:rsid w:val="000E0C84"/>
    <w:rsid w:val="000E0CE9"/>
    <w:rsid w:val="000E0E3C"/>
    <w:rsid w:val="000E1C9D"/>
    <w:rsid w:val="000E28E0"/>
    <w:rsid w:val="000E46C5"/>
    <w:rsid w:val="000E4FD6"/>
    <w:rsid w:val="000E708C"/>
    <w:rsid w:val="000E7E9F"/>
    <w:rsid w:val="000F279B"/>
    <w:rsid w:val="000F29E1"/>
    <w:rsid w:val="000F61E2"/>
    <w:rsid w:val="000F7ED5"/>
    <w:rsid w:val="0010046E"/>
    <w:rsid w:val="00102A61"/>
    <w:rsid w:val="001030ED"/>
    <w:rsid w:val="001041EB"/>
    <w:rsid w:val="001045B1"/>
    <w:rsid w:val="00104BF1"/>
    <w:rsid w:val="00106F02"/>
    <w:rsid w:val="001078A8"/>
    <w:rsid w:val="00107904"/>
    <w:rsid w:val="001129DE"/>
    <w:rsid w:val="0011369D"/>
    <w:rsid w:val="00113F18"/>
    <w:rsid w:val="00114470"/>
    <w:rsid w:val="00114EC3"/>
    <w:rsid w:val="00117326"/>
    <w:rsid w:val="00117C85"/>
    <w:rsid w:val="00121C37"/>
    <w:rsid w:val="00122833"/>
    <w:rsid w:val="00122C6F"/>
    <w:rsid w:val="0012593C"/>
    <w:rsid w:val="00125C41"/>
    <w:rsid w:val="00126B1A"/>
    <w:rsid w:val="0013179E"/>
    <w:rsid w:val="00131A6C"/>
    <w:rsid w:val="00131E4C"/>
    <w:rsid w:val="00133B59"/>
    <w:rsid w:val="00136716"/>
    <w:rsid w:val="00137465"/>
    <w:rsid w:val="00137E25"/>
    <w:rsid w:val="00137F36"/>
    <w:rsid w:val="001434C3"/>
    <w:rsid w:val="001441CB"/>
    <w:rsid w:val="00145453"/>
    <w:rsid w:val="0014611F"/>
    <w:rsid w:val="00146861"/>
    <w:rsid w:val="001517E4"/>
    <w:rsid w:val="00151E7C"/>
    <w:rsid w:val="00153387"/>
    <w:rsid w:val="00154C55"/>
    <w:rsid w:val="00157C06"/>
    <w:rsid w:val="00161845"/>
    <w:rsid w:val="00162849"/>
    <w:rsid w:val="00164D27"/>
    <w:rsid w:val="001660C7"/>
    <w:rsid w:val="00166432"/>
    <w:rsid w:val="00167012"/>
    <w:rsid w:val="001671A8"/>
    <w:rsid w:val="0016761A"/>
    <w:rsid w:val="00167BE2"/>
    <w:rsid w:val="00171B8F"/>
    <w:rsid w:val="0017238E"/>
    <w:rsid w:val="00177E2C"/>
    <w:rsid w:val="00180992"/>
    <w:rsid w:val="00180FD2"/>
    <w:rsid w:val="00180FD4"/>
    <w:rsid w:val="00181509"/>
    <w:rsid w:val="00181965"/>
    <w:rsid w:val="00185202"/>
    <w:rsid w:val="00187B69"/>
    <w:rsid w:val="0019050C"/>
    <w:rsid w:val="00192E8C"/>
    <w:rsid w:val="0019391D"/>
    <w:rsid w:val="00193F7B"/>
    <w:rsid w:val="00195579"/>
    <w:rsid w:val="001A0839"/>
    <w:rsid w:val="001A33EF"/>
    <w:rsid w:val="001B2439"/>
    <w:rsid w:val="001B2EF9"/>
    <w:rsid w:val="001B4AB3"/>
    <w:rsid w:val="001B5250"/>
    <w:rsid w:val="001B5719"/>
    <w:rsid w:val="001B621C"/>
    <w:rsid w:val="001B64D0"/>
    <w:rsid w:val="001B7915"/>
    <w:rsid w:val="001C0FE6"/>
    <w:rsid w:val="001C19EB"/>
    <w:rsid w:val="001C1DDC"/>
    <w:rsid w:val="001C7AC5"/>
    <w:rsid w:val="001D04CA"/>
    <w:rsid w:val="001D1058"/>
    <w:rsid w:val="001D19C3"/>
    <w:rsid w:val="001D218B"/>
    <w:rsid w:val="001D4209"/>
    <w:rsid w:val="001E1922"/>
    <w:rsid w:val="001E2071"/>
    <w:rsid w:val="001E31DF"/>
    <w:rsid w:val="001E5580"/>
    <w:rsid w:val="001E5CFB"/>
    <w:rsid w:val="001E608B"/>
    <w:rsid w:val="001E69C1"/>
    <w:rsid w:val="001E7DCD"/>
    <w:rsid w:val="001E7FFA"/>
    <w:rsid w:val="001F0AFC"/>
    <w:rsid w:val="001F470F"/>
    <w:rsid w:val="001F4ACD"/>
    <w:rsid w:val="001F6170"/>
    <w:rsid w:val="001F63D7"/>
    <w:rsid w:val="001F6ACF"/>
    <w:rsid w:val="001F6FB1"/>
    <w:rsid w:val="00204431"/>
    <w:rsid w:val="0020464A"/>
    <w:rsid w:val="00204A25"/>
    <w:rsid w:val="0020608E"/>
    <w:rsid w:val="002073B6"/>
    <w:rsid w:val="00207539"/>
    <w:rsid w:val="002076CA"/>
    <w:rsid w:val="002079DD"/>
    <w:rsid w:val="00211768"/>
    <w:rsid w:val="00212DCC"/>
    <w:rsid w:val="002141C1"/>
    <w:rsid w:val="00215A82"/>
    <w:rsid w:val="00216F2A"/>
    <w:rsid w:val="00220914"/>
    <w:rsid w:val="00221D61"/>
    <w:rsid w:val="00221FB3"/>
    <w:rsid w:val="002224C4"/>
    <w:rsid w:val="00224456"/>
    <w:rsid w:val="00225BEA"/>
    <w:rsid w:val="00225C1C"/>
    <w:rsid w:val="00230440"/>
    <w:rsid w:val="00230AAB"/>
    <w:rsid w:val="00231A19"/>
    <w:rsid w:val="00232081"/>
    <w:rsid w:val="00232DA1"/>
    <w:rsid w:val="002346BC"/>
    <w:rsid w:val="002351A8"/>
    <w:rsid w:val="002351E6"/>
    <w:rsid w:val="002378BD"/>
    <w:rsid w:val="00237B26"/>
    <w:rsid w:val="00240303"/>
    <w:rsid w:val="0024180A"/>
    <w:rsid w:val="0024268D"/>
    <w:rsid w:val="00250442"/>
    <w:rsid w:val="00250A66"/>
    <w:rsid w:val="0025318E"/>
    <w:rsid w:val="00254EC2"/>
    <w:rsid w:val="002550AB"/>
    <w:rsid w:val="00256322"/>
    <w:rsid w:val="002575A8"/>
    <w:rsid w:val="00260476"/>
    <w:rsid w:val="00261B88"/>
    <w:rsid w:val="0026229E"/>
    <w:rsid w:val="002622CD"/>
    <w:rsid w:val="00266574"/>
    <w:rsid w:val="002668F8"/>
    <w:rsid w:val="00270E78"/>
    <w:rsid w:val="00271390"/>
    <w:rsid w:val="002714E9"/>
    <w:rsid w:val="002718C5"/>
    <w:rsid w:val="00271AB9"/>
    <w:rsid w:val="0027245E"/>
    <w:rsid w:val="00272EBD"/>
    <w:rsid w:val="002743A4"/>
    <w:rsid w:val="00274BCC"/>
    <w:rsid w:val="00275406"/>
    <w:rsid w:val="002769E7"/>
    <w:rsid w:val="00281882"/>
    <w:rsid w:val="00281D99"/>
    <w:rsid w:val="002821B9"/>
    <w:rsid w:val="00282DBE"/>
    <w:rsid w:val="0028450D"/>
    <w:rsid w:val="00291EBF"/>
    <w:rsid w:val="00296D8E"/>
    <w:rsid w:val="002A0772"/>
    <w:rsid w:val="002B0601"/>
    <w:rsid w:val="002B10C7"/>
    <w:rsid w:val="002B66EF"/>
    <w:rsid w:val="002B6EC9"/>
    <w:rsid w:val="002B738F"/>
    <w:rsid w:val="002B7609"/>
    <w:rsid w:val="002C0665"/>
    <w:rsid w:val="002C1095"/>
    <w:rsid w:val="002C2BD3"/>
    <w:rsid w:val="002C2C92"/>
    <w:rsid w:val="002C4749"/>
    <w:rsid w:val="002C49CF"/>
    <w:rsid w:val="002C6317"/>
    <w:rsid w:val="002D07B9"/>
    <w:rsid w:val="002D0C71"/>
    <w:rsid w:val="002D0F04"/>
    <w:rsid w:val="002D31A6"/>
    <w:rsid w:val="002D4A56"/>
    <w:rsid w:val="002D61C0"/>
    <w:rsid w:val="002D797A"/>
    <w:rsid w:val="002E0BC4"/>
    <w:rsid w:val="002E184C"/>
    <w:rsid w:val="002E2CAE"/>
    <w:rsid w:val="002E60FC"/>
    <w:rsid w:val="002E6409"/>
    <w:rsid w:val="002F137A"/>
    <w:rsid w:val="002F1661"/>
    <w:rsid w:val="002F267D"/>
    <w:rsid w:val="002F3D30"/>
    <w:rsid w:val="002F41A4"/>
    <w:rsid w:val="002F48E3"/>
    <w:rsid w:val="002F6BBA"/>
    <w:rsid w:val="002F6DFA"/>
    <w:rsid w:val="002F7C5F"/>
    <w:rsid w:val="0030038F"/>
    <w:rsid w:val="00302D7F"/>
    <w:rsid w:val="00305125"/>
    <w:rsid w:val="00306442"/>
    <w:rsid w:val="003069FB"/>
    <w:rsid w:val="003073B1"/>
    <w:rsid w:val="00312C0C"/>
    <w:rsid w:val="00313AA2"/>
    <w:rsid w:val="003200C9"/>
    <w:rsid w:val="003209C7"/>
    <w:rsid w:val="0032306D"/>
    <w:rsid w:val="00326170"/>
    <w:rsid w:val="003263E9"/>
    <w:rsid w:val="00326D35"/>
    <w:rsid w:val="00331183"/>
    <w:rsid w:val="00332063"/>
    <w:rsid w:val="00333AB9"/>
    <w:rsid w:val="00333C06"/>
    <w:rsid w:val="0033459B"/>
    <w:rsid w:val="00335BE8"/>
    <w:rsid w:val="00337C87"/>
    <w:rsid w:val="00341DB4"/>
    <w:rsid w:val="0034265F"/>
    <w:rsid w:val="003437DD"/>
    <w:rsid w:val="00343A49"/>
    <w:rsid w:val="0034452C"/>
    <w:rsid w:val="00346441"/>
    <w:rsid w:val="003475EC"/>
    <w:rsid w:val="0035076B"/>
    <w:rsid w:val="00352BEB"/>
    <w:rsid w:val="00353885"/>
    <w:rsid w:val="00355F24"/>
    <w:rsid w:val="00361EB1"/>
    <w:rsid w:val="003629D1"/>
    <w:rsid w:val="003637CE"/>
    <w:rsid w:val="003715EC"/>
    <w:rsid w:val="00373753"/>
    <w:rsid w:val="003751C8"/>
    <w:rsid w:val="00375BE3"/>
    <w:rsid w:val="00376867"/>
    <w:rsid w:val="00376A96"/>
    <w:rsid w:val="003772AC"/>
    <w:rsid w:val="00381E56"/>
    <w:rsid w:val="003826FF"/>
    <w:rsid w:val="00393D9D"/>
    <w:rsid w:val="00393E61"/>
    <w:rsid w:val="00396D02"/>
    <w:rsid w:val="003A0041"/>
    <w:rsid w:val="003A1C3E"/>
    <w:rsid w:val="003A2810"/>
    <w:rsid w:val="003A2970"/>
    <w:rsid w:val="003A5088"/>
    <w:rsid w:val="003A662B"/>
    <w:rsid w:val="003A7D80"/>
    <w:rsid w:val="003B0E46"/>
    <w:rsid w:val="003B14AA"/>
    <w:rsid w:val="003B19C7"/>
    <w:rsid w:val="003B25A5"/>
    <w:rsid w:val="003B3120"/>
    <w:rsid w:val="003B3537"/>
    <w:rsid w:val="003B567E"/>
    <w:rsid w:val="003B6932"/>
    <w:rsid w:val="003B79EB"/>
    <w:rsid w:val="003B7ED0"/>
    <w:rsid w:val="003C0D91"/>
    <w:rsid w:val="003C3E42"/>
    <w:rsid w:val="003C4B05"/>
    <w:rsid w:val="003C578B"/>
    <w:rsid w:val="003C72E2"/>
    <w:rsid w:val="003D07D2"/>
    <w:rsid w:val="003D5B84"/>
    <w:rsid w:val="003D79CF"/>
    <w:rsid w:val="003E0207"/>
    <w:rsid w:val="003E0E36"/>
    <w:rsid w:val="003E1188"/>
    <w:rsid w:val="003E26CB"/>
    <w:rsid w:val="003E287B"/>
    <w:rsid w:val="003E304D"/>
    <w:rsid w:val="003E4AA5"/>
    <w:rsid w:val="003F0964"/>
    <w:rsid w:val="003F18A1"/>
    <w:rsid w:val="003F1D93"/>
    <w:rsid w:val="003F2EB6"/>
    <w:rsid w:val="003F3F66"/>
    <w:rsid w:val="003F4897"/>
    <w:rsid w:val="003F6587"/>
    <w:rsid w:val="004017D0"/>
    <w:rsid w:val="00402C7D"/>
    <w:rsid w:val="00403A74"/>
    <w:rsid w:val="00407351"/>
    <w:rsid w:val="00407C2D"/>
    <w:rsid w:val="004106DF"/>
    <w:rsid w:val="00411A71"/>
    <w:rsid w:val="00411C0C"/>
    <w:rsid w:val="0041364A"/>
    <w:rsid w:val="0041399A"/>
    <w:rsid w:val="00414499"/>
    <w:rsid w:val="00414535"/>
    <w:rsid w:val="00414EA0"/>
    <w:rsid w:val="00420D64"/>
    <w:rsid w:val="00424E85"/>
    <w:rsid w:val="00425BE9"/>
    <w:rsid w:val="00427072"/>
    <w:rsid w:val="00431478"/>
    <w:rsid w:val="0043585C"/>
    <w:rsid w:val="00441F35"/>
    <w:rsid w:val="00443205"/>
    <w:rsid w:val="004439D2"/>
    <w:rsid w:val="004503E9"/>
    <w:rsid w:val="00453463"/>
    <w:rsid w:val="004550E4"/>
    <w:rsid w:val="00455747"/>
    <w:rsid w:val="004637E8"/>
    <w:rsid w:val="00467368"/>
    <w:rsid w:val="004674CD"/>
    <w:rsid w:val="004710EE"/>
    <w:rsid w:val="00472E56"/>
    <w:rsid w:val="004740EC"/>
    <w:rsid w:val="004750E1"/>
    <w:rsid w:val="004819CF"/>
    <w:rsid w:val="00481DA2"/>
    <w:rsid w:val="00482168"/>
    <w:rsid w:val="00482432"/>
    <w:rsid w:val="00483565"/>
    <w:rsid w:val="00484866"/>
    <w:rsid w:val="004859D6"/>
    <w:rsid w:val="00485FD1"/>
    <w:rsid w:val="0048797E"/>
    <w:rsid w:val="00487DD3"/>
    <w:rsid w:val="004902C8"/>
    <w:rsid w:val="004905D4"/>
    <w:rsid w:val="00492E44"/>
    <w:rsid w:val="004947B9"/>
    <w:rsid w:val="0049514C"/>
    <w:rsid w:val="00496DFD"/>
    <w:rsid w:val="004A0C8B"/>
    <w:rsid w:val="004A187E"/>
    <w:rsid w:val="004A335F"/>
    <w:rsid w:val="004A3F3D"/>
    <w:rsid w:val="004A4FDB"/>
    <w:rsid w:val="004A5FC0"/>
    <w:rsid w:val="004A7C83"/>
    <w:rsid w:val="004B1FFE"/>
    <w:rsid w:val="004B2F8C"/>
    <w:rsid w:val="004B4EDE"/>
    <w:rsid w:val="004B589F"/>
    <w:rsid w:val="004B661B"/>
    <w:rsid w:val="004B76DC"/>
    <w:rsid w:val="004C0B2C"/>
    <w:rsid w:val="004C1E2F"/>
    <w:rsid w:val="004C3BEB"/>
    <w:rsid w:val="004C59ED"/>
    <w:rsid w:val="004C65D5"/>
    <w:rsid w:val="004D1340"/>
    <w:rsid w:val="004D2E06"/>
    <w:rsid w:val="004D7295"/>
    <w:rsid w:val="004E03B8"/>
    <w:rsid w:val="004E140A"/>
    <w:rsid w:val="004E154B"/>
    <w:rsid w:val="004E1914"/>
    <w:rsid w:val="004E3613"/>
    <w:rsid w:val="004E3AFD"/>
    <w:rsid w:val="004E3CAD"/>
    <w:rsid w:val="004E6C69"/>
    <w:rsid w:val="004E7D77"/>
    <w:rsid w:val="004F101E"/>
    <w:rsid w:val="004F2A11"/>
    <w:rsid w:val="004F3166"/>
    <w:rsid w:val="004F3208"/>
    <w:rsid w:val="004F54D2"/>
    <w:rsid w:val="004F6193"/>
    <w:rsid w:val="00501713"/>
    <w:rsid w:val="00502672"/>
    <w:rsid w:val="00505F41"/>
    <w:rsid w:val="0050794C"/>
    <w:rsid w:val="0051075B"/>
    <w:rsid w:val="00511236"/>
    <w:rsid w:val="00511539"/>
    <w:rsid w:val="00512DE0"/>
    <w:rsid w:val="00513610"/>
    <w:rsid w:val="0051361F"/>
    <w:rsid w:val="00515455"/>
    <w:rsid w:val="005160A8"/>
    <w:rsid w:val="00516317"/>
    <w:rsid w:val="005174FF"/>
    <w:rsid w:val="00520EC3"/>
    <w:rsid w:val="0052138C"/>
    <w:rsid w:val="005213A1"/>
    <w:rsid w:val="00521EC1"/>
    <w:rsid w:val="00522A3A"/>
    <w:rsid w:val="00523362"/>
    <w:rsid w:val="00523B26"/>
    <w:rsid w:val="0052442F"/>
    <w:rsid w:val="00526CFA"/>
    <w:rsid w:val="00530415"/>
    <w:rsid w:val="00530CAF"/>
    <w:rsid w:val="0053172B"/>
    <w:rsid w:val="00532941"/>
    <w:rsid w:val="00534655"/>
    <w:rsid w:val="00535A39"/>
    <w:rsid w:val="005373E3"/>
    <w:rsid w:val="00540DCE"/>
    <w:rsid w:val="00540DD7"/>
    <w:rsid w:val="00541F86"/>
    <w:rsid w:val="00541FCB"/>
    <w:rsid w:val="0054283A"/>
    <w:rsid w:val="00542D39"/>
    <w:rsid w:val="00545E9C"/>
    <w:rsid w:val="00547658"/>
    <w:rsid w:val="0054768C"/>
    <w:rsid w:val="00552A9C"/>
    <w:rsid w:val="0055343D"/>
    <w:rsid w:val="00553B81"/>
    <w:rsid w:val="0055649A"/>
    <w:rsid w:val="00563102"/>
    <w:rsid w:val="005633DA"/>
    <w:rsid w:val="005713BB"/>
    <w:rsid w:val="00572013"/>
    <w:rsid w:val="00573257"/>
    <w:rsid w:val="00575F6D"/>
    <w:rsid w:val="005778F7"/>
    <w:rsid w:val="00577A3F"/>
    <w:rsid w:val="005805DF"/>
    <w:rsid w:val="0058279C"/>
    <w:rsid w:val="0058326E"/>
    <w:rsid w:val="005833B8"/>
    <w:rsid w:val="00583A03"/>
    <w:rsid w:val="005841BA"/>
    <w:rsid w:val="00584301"/>
    <w:rsid w:val="005857EE"/>
    <w:rsid w:val="005877F2"/>
    <w:rsid w:val="00591820"/>
    <w:rsid w:val="00592442"/>
    <w:rsid w:val="0059283B"/>
    <w:rsid w:val="00593E92"/>
    <w:rsid w:val="005949F1"/>
    <w:rsid w:val="00594C35"/>
    <w:rsid w:val="005956F7"/>
    <w:rsid w:val="00595CB2"/>
    <w:rsid w:val="005978C8"/>
    <w:rsid w:val="005A0A0F"/>
    <w:rsid w:val="005A1AD0"/>
    <w:rsid w:val="005A2361"/>
    <w:rsid w:val="005A24ED"/>
    <w:rsid w:val="005A2573"/>
    <w:rsid w:val="005A2DFA"/>
    <w:rsid w:val="005A4783"/>
    <w:rsid w:val="005A6B87"/>
    <w:rsid w:val="005B0825"/>
    <w:rsid w:val="005B0A84"/>
    <w:rsid w:val="005B176C"/>
    <w:rsid w:val="005B2D16"/>
    <w:rsid w:val="005B374D"/>
    <w:rsid w:val="005B4DAF"/>
    <w:rsid w:val="005B56A0"/>
    <w:rsid w:val="005B5788"/>
    <w:rsid w:val="005B60D5"/>
    <w:rsid w:val="005B693A"/>
    <w:rsid w:val="005C11D6"/>
    <w:rsid w:val="005C12EA"/>
    <w:rsid w:val="005C1759"/>
    <w:rsid w:val="005C234E"/>
    <w:rsid w:val="005D02EE"/>
    <w:rsid w:val="005D0C1B"/>
    <w:rsid w:val="005D210E"/>
    <w:rsid w:val="005D3D27"/>
    <w:rsid w:val="005D464B"/>
    <w:rsid w:val="005D7D3A"/>
    <w:rsid w:val="005D7EB1"/>
    <w:rsid w:val="005E3B60"/>
    <w:rsid w:val="005E6DA2"/>
    <w:rsid w:val="005E6EF7"/>
    <w:rsid w:val="005E736A"/>
    <w:rsid w:val="005E75FC"/>
    <w:rsid w:val="005F042D"/>
    <w:rsid w:val="005F3D1C"/>
    <w:rsid w:val="005F534C"/>
    <w:rsid w:val="005F75F8"/>
    <w:rsid w:val="006044C7"/>
    <w:rsid w:val="006123B6"/>
    <w:rsid w:val="00613977"/>
    <w:rsid w:val="00615544"/>
    <w:rsid w:val="0061627D"/>
    <w:rsid w:val="006206C7"/>
    <w:rsid w:val="00622EC4"/>
    <w:rsid w:val="0062488B"/>
    <w:rsid w:val="006327F1"/>
    <w:rsid w:val="00636167"/>
    <w:rsid w:val="00644417"/>
    <w:rsid w:val="00647075"/>
    <w:rsid w:val="00647DA9"/>
    <w:rsid w:val="00652EBE"/>
    <w:rsid w:val="006549EF"/>
    <w:rsid w:val="00655972"/>
    <w:rsid w:val="00655C14"/>
    <w:rsid w:val="00656420"/>
    <w:rsid w:val="00662070"/>
    <w:rsid w:val="0066237A"/>
    <w:rsid w:val="006628A9"/>
    <w:rsid w:val="0066416E"/>
    <w:rsid w:val="00665A9F"/>
    <w:rsid w:val="00665B37"/>
    <w:rsid w:val="00665DA0"/>
    <w:rsid w:val="006719D8"/>
    <w:rsid w:val="0067364F"/>
    <w:rsid w:val="00675D81"/>
    <w:rsid w:val="00676455"/>
    <w:rsid w:val="00676EB9"/>
    <w:rsid w:val="00682510"/>
    <w:rsid w:val="00682B00"/>
    <w:rsid w:val="00685AA5"/>
    <w:rsid w:val="00685CBE"/>
    <w:rsid w:val="00685FB4"/>
    <w:rsid w:val="006863DA"/>
    <w:rsid w:val="00687CA7"/>
    <w:rsid w:val="00687D3A"/>
    <w:rsid w:val="006925E2"/>
    <w:rsid w:val="006A0231"/>
    <w:rsid w:val="006A090C"/>
    <w:rsid w:val="006A1384"/>
    <w:rsid w:val="006A1722"/>
    <w:rsid w:val="006A34DA"/>
    <w:rsid w:val="006A6246"/>
    <w:rsid w:val="006A6AEE"/>
    <w:rsid w:val="006B027E"/>
    <w:rsid w:val="006B0965"/>
    <w:rsid w:val="006B56D7"/>
    <w:rsid w:val="006B6754"/>
    <w:rsid w:val="006B67B2"/>
    <w:rsid w:val="006B71FD"/>
    <w:rsid w:val="006C0661"/>
    <w:rsid w:val="006C0E3B"/>
    <w:rsid w:val="006C18AF"/>
    <w:rsid w:val="006C1D12"/>
    <w:rsid w:val="006C5EC9"/>
    <w:rsid w:val="006C7C8B"/>
    <w:rsid w:val="006D0B83"/>
    <w:rsid w:val="006D29E6"/>
    <w:rsid w:val="006D449D"/>
    <w:rsid w:val="006D5851"/>
    <w:rsid w:val="006D5DAA"/>
    <w:rsid w:val="006D60D9"/>
    <w:rsid w:val="006D6178"/>
    <w:rsid w:val="006E0B0C"/>
    <w:rsid w:val="006E361D"/>
    <w:rsid w:val="006E3810"/>
    <w:rsid w:val="006E44B1"/>
    <w:rsid w:val="006E492E"/>
    <w:rsid w:val="006E4C9D"/>
    <w:rsid w:val="006E4F7B"/>
    <w:rsid w:val="006E5DCF"/>
    <w:rsid w:val="006E669C"/>
    <w:rsid w:val="006E786F"/>
    <w:rsid w:val="006E7CF8"/>
    <w:rsid w:val="006F01C3"/>
    <w:rsid w:val="006F1251"/>
    <w:rsid w:val="006F5B9E"/>
    <w:rsid w:val="006F7480"/>
    <w:rsid w:val="0070124C"/>
    <w:rsid w:val="007017C6"/>
    <w:rsid w:val="007027BB"/>
    <w:rsid w:val="00705140"/>
    <w:rsid w:val="007066C5"/>
    <w:rsid w:val="00712FFF"/>
    <w:rsid w:val="007142C8"/>
    <w:rsid w:val="00717A32"/>
    <w:rsid w:val="00720729"/>
    <w:rsid w:val="007212E2"/>
    <w:rsid w:val="00723DEB"/>
    <w:rsid w:val="007240E7"/>
    <w:rsid w:val="00731AEB"/>
    <w:rsid w:val="0073644F"/>
    <w:rsid w:val="0073769F"/>
    <w:rsid w:val="00740C36"/>
    <w:rsid w:val="00741A8F"/>
    <w:rsid w:val="00742008"/>
    <w:rsid w:val="00743BA0"/>
    <w:rsid w:val="00745DED"/>
    <w:rsid w:val="00747DFD"/>
    <w:rsid w:val="00754329"/>
    <w:rsid w:val="007547A1"/>
    <w:rsid w:val="00756A93"/>
    <w:rsid w:val="0075769A"/>
    <w:rsid w:val="00765DEF"/>
    <w:rsid w:val="00766E46"/>
    <w:rsid w:val="00770E6E"/>
    <w:rsid w:val="00771A7C"/>
    <w:rsid w:val="0077230A"/>
    <w:rsid w:val="00772725"/>
    <w:rsid w:val="00773EB7"/>
    <w:rsid w:val="007751AA"/>
    <w:rsid w:val="00777AD7"/>
    <w:rsid w:val="00784C44"/>
    <w:rsid w:val="00786837"/>
    <w:rsid w:val="007912CE"/>
    <w:rsid w:val="007934C4"/>
    <w:rsid w:val="0079451D"/>
    <w:rsid w:val="00795966"/>
    <w:rsid w:val="007A04C8"/>
    <w:rsid w:val="007A3102"/>
    <w:rsid w:val="007A3181"/>
    <w:rsid w:val="007A3B30"/>
    <w:rsid w:val="007A3FC0"/>
    <w:rsid w:val="007A49BA"/>
    <w:rsid w:val="007A609F"/>
    <w:rsid w:val="007A7484"/>
    <w:rsid w:val="007B03C4"/>
    <w:rsid w:val="007B3EF9"/>
    <w:rsid w:val="007B565D"/>
    <w:rsid w:val="007B57A1"/>
    <w:rsid w:val="007B7535"/>
    <w:rsid w:val="007C0D3D"/>
    <w:rsid w:val="007C2A08"/>
    <w:rsid w:val="007C3819"/>
    <w:rsid w:val="007C60D8"/>
    <w:rsid w:val="007D0AC6"/>
    <w:rsid w:val="007D2077"/>
    <w:rsid w:val="007D452A"/>
    <w:rsid w:val="007D4DC3"/>
    <w:rsid w:val="007D60C6"/>
    <w:rsid w:val="007D7A78"/>
    <w:rsid w:val="007E3AF5"/>
    <w:rsid w:val="007E5812"/>
    <w:rsid w:val="007E6842"/>
    <w:rsid w:val="007E68A5"/>
    <w:rsid w:val="007F1EC7"/>
    <w:rsid w:val="007F286F"/>
    <w:rsid w:val="007F2C82"/>
    <w:rsid w:val="007F36F4"/>
    <w:rsid w:val="007F3EAF"/>
    <w:rsid w:val="007F40B0"/>
    <w:rsid w:val="007F5F38"/>
    <w:rsid w:val="007F665B"/>
    <w:rsid w:val="008042C8"/>
    <w:rsid w:val="00805CFD"/>
    <w:rsid w:val="00807F15"/>
    <w:rsid w:val="00810ABF"/>
    <w:rsid w:val="0081359D"/>
    <w:rsid w:val="008136A0"/>
    <w:rsid w:val="00813CDD"/>
    <w:rsid w:val="00814164"/>
    <w:rsid w:val="00814AD7"/>
    <w:rsid w:val="00815A2E"/>
    <w:rsid w:val="008167BC"/>
    <w:rsid w:val="008168B9"/>
    <w:rsid w:val="00820B4E"/>
    <w:rsid w:val="00822488"/>
    <w:rsid w:val="00822945"/>
    <w:rsid w:val="00823B38"/>
    <w:rsid w:val="00823F1C"/>
    <w:rsid w:val="00824697"/>
    <w:rsid w:val="00824B9B"/>
    <w:rsid w:val="00827A30"/>
    <w:rsid w:val="008318B8"/>
    <w:rsid w:val="00831DDD"/>
    <w:rsid w:val="00832386"/>
    <w:rsid w:val="008332DA"/>
    <w:rsid w:val="008344C2"/>
    <w:rsid w:val="00834BAC"/>
    <w:rsid w:val="00835817"/>
    <w:rsid w:val="00836D01"/>
    <w:rsid w:val="008373F8"/>
    <w:rsid w:val="008379F3"/>
    <w:rsid w:val="00837EA3"/>
    <w:rsid w:val="00840495"/>
    <w:rsid w:val="008439A0"/>
    <w:rsid w:val="00843BE9"/>
    <w:rsid w:val="00847569"/>
    <w:rsid w:val="008508FF"/>
    <w:rsid w:val="00850CAC"/>
    <w:rsid w:val="0085238C"/>
    <w:rsid w:val="008530DA"/>
    <w:rsid w:val="0085352C"/>
    <w:rsid w:val="008538D0"/>
    <w:rsid w:val="00853BF4"/>
    <w:rsid w:val="00854ED5"/>
    <w:rsid w:val="00855965"/>
    <w:rsid w:val="00856356"/>
    <w:rsid w:val="008563F2"/>
    <w:rsid w:val="00856F9B"/>
    <w:rsid w:val="00860671"/>
    <w:rsid w:val="00860F0E"/>
    <w:rsid w:val="00862CD2"/>
    <w:rsid w:val="0086508B"/>
    <w:rsid w:val="00866E4F"/>
    <w:rsid w:val="0087156B"/>
    <w:rsid w:val="00872D7E"/>
    <w:rsid w:val="008754E6"/>
    <w:rsid w:val="0087776F"/>
    <w:rsid w:val="0088233C"/>
    <w:rsid w:val="0088280A"/>
    <w:rsid w:val="00883EB7"/>
    <w:rsid w:val="0089206E"/>
    <w:rsid w:val="00892C9F"/>
    <w:rsid w:val="00892FBD"/>
    <w:rsid w:val="00893AD8"/>
    <w:rsid w:val="00893D2C"/>
    <w:rsid w:val="00894D11"/>
    <w:rsid w:val="0089523F"/>
    <w:rsid w:val="008967E5"/>
    <w:rsid w:val="00897BCF"/>
    <w:rsid w:val="008A07FE"/>
    <w:rsid w:val="008A12AD"/>
    <w:rsid w:val="008A1677"/>
    <w:rsid w:val="008A5452"/>
    <w:rsid w:val="008A6436"/>
    <w:rsid w:val="008A6E5D"/>
    <w:rsid w:val="008A72EA"/>
    <w:rsid w:val="008B0265"/>
    <w:rsid w:val="008B04B3"/>
    <w:rsid w:val="008B060F"/>
    <w:rsid w:val="008B0C01"/>
    <w:rsid w:val="008B144F"/>
    <w:rsid w:val="008B1A88"/>
    <w:rsid w:val="008B279B"/>
    <w:rsid w:val="008B3B85"/>
    <w:rsid w:val="008B42E3"/>
    <w:rsid w:val="008B4E8C"/>
    <w:rsid w:val="008B60B8"/>
    <w:rsid w:val="008C12BE"/>
    <w:rsid w:val="008C1B93"/>
    <w:rsid w:val="008C22C7"/>
    <w:rsid w:val="008C38EB"/>
    <w:rsid w:val="008C414B"/>
    <w:rsid w:val="008C54EA"/>
    <w:rsid w:val="008C6701"/>
    <w:rsid w:val="008C671C"/>
    <w:rsid w:val="008D28A9"/>
    <w:rsid w:val="008D3BDF"/>
    <w:rsid w:val="008D7EA2"/>
    <w:rsid w:val="008E0F80"/>
    <w:rsid w:val="008E1CA4"/>
    <w:rsid w:val="008E3FAA"/>
    <w:rsid w:val="008E737C"/>
    <w:rsid w:val="008F04A3"/>
    <w:rsid w:val="008F05B8"/>
    <w:rsid w:val="008F0C9D"/>
    <w:rsid w:val="008F0D5A"/>
    <w:rsid w:val="008F1C12"/>
    <w:rsid w:val="008F5A4B"/>
    <w:rsid w:val="008F5EF9"/>
    <w:rsid w:val="008F5F6F"/>
    <w:rsid w:val="00900EC1"/>
    <w:rsid w:val="009011D8"/>
    <w:rsid w:val="00901214"/>
    <w:rsid w:val="0090431E"/>
    <w:rsid w:val="00904D6D"/>
    <w:rsid w:val="00904EC8"/>
    <w:rsid w:val="00906951"/>
    <w:rsid w:val="0091187A"/>
    <w:rsid w:val="00912FBC"/>
    <w:rsid w:val="00913D3B"/>
    <w:rsid w:val="00913F75"/>
    <w:rsid w:val="009162AB"/>
    <w:rsid w:val="009215FF"/>
    <w:rsid w:val="00921D05"/>
    <w:rsid w:val="0092257C"/>
    <w:rsid w:val="00923121"/>
    <w:rsid w:val="009314C3"/>
    <w:rsid w:val="009317FD"/>
    <w:rsid w:val="00934F4B"/>
    <w:rsid w:val="009406FF"/>
    <w:rsid w:val="00941203"/>
    <w:rsid w:val="009416C1"/>
    <w:rsid w:val="0094264B"/>
    <w:rsid w:val="00942FCB"/>
    <w:rsid w:val="0094367D"/>
    <w:rsid w:val="00943FA1"/>
    <w:rsid w:val="00945A5C"/>
    <w:rsid w:val="00946389"/>
    <w:rsid w:val="0094738D"/>
    <w:rsid w:val="00950EF7"/>
    <w:rsid w:val="009525CD"/>
    <w:rsid w:val="00954DC1"/>
    <w:rsid w:val="00955462"/>
    <w:rsid w:val="00956EB6"/>
    <w:rsid w:val="00957C11"/>
    <w:rsid w:val="009617A9"/>
    <w:rsid w:val="009665BE"/>
    <w:rsid w:val="009673AB"/>
    <w:rsid w:val="009674B0"/>
    <w:rsid w:val="00970E84"/>
    <w:rsid w:val="00971153"/>
    <w:rsid w:val="00981036"/>
    <w:rsid w:val="00981E5F"/>
    <w:rsid w:val="00983846"/>
    <w:rsid w:val="00990CC8"/>
    <w:rsid w:val="0099227E"/>
    <w:rsid w:val="009949C5"/>
    <w:rsid w:val="00997C10"/>
    <w:rsid w:val="00997D5C"/>
    <w:rsid w:val="009A19B2"/>
    <w:rsid w:val="009A245C"/>
    <w:rsid w:val="009B3EC0"/>
    <w:rsid w:val="009B4878"/>
    <w:rsid w:val="009B5FE8"/>
    <w:rsid w:val="009B62B1"/>
    <w:rsid w:val="009B76C2"/>
    <w:rsid w:val="009B7922"/>
    <w:rsid w:val="009C080D"/>
    <w:rsid w:val="009C5293"/>
    <w:rsid w:val="009D41DF"/>
    <w:rsid w:val="009D709E"/>
    <w:rsid w:val="009E0249"/>
    <w:rsid w:val="009E055A"/>
    <w:rsid w:val="009E0F0F"/>
    <w:rsid w:val="009E36AC"/>
    <w:rsid w:val="009E4FB4"/>
    <w:rsid w:val="009E5694"/>
    <w:rsid w:val="009E585B"/>
    <w:rsid w:val="009E7D5A"/>
    <w:rsid w:val="009F040E"/>
    <w:rsid w:val="009F1F65"/>
    <w:rsid w:val="00A01765"/>
    <w:rsid w:val="00A02DD3"/>
    <w:rsid w:val="00A04D6C"/>
    <w:rsid w:val="00A05622"/>
    <w:rsid w:val="00A100B6"/>
    <w:rsid w:val="00A1136A"/>
    <w:rsid w:val="00A16250"/>
    <w:rsid w:val="00A17296"/>
    <w:rsid w:val="00A17D28"/>
    <w:rsid w:val="00A21621"/>
    <w:rsid w:val="00A22457"/>
    <w:rsid w:val="00A22900"/>
    <w:rsid w:val="00A263DF"/>
    <w:rsid w:val="00A31E71"/>
    <w:rsid w:val="00A3340E"/>
    <w:rsid w:val="00A336F2"/>
    <w:rsid w:val="00A42248"/>
    <w:rsid w:val="00A426C8"/>
    <w:rsid w:val="00A42ABF"/>
    <w:rsid w:val="00A4427E"/>
    <w:rsid w:val="00A462A1"/>
    <w:rsid w:val="00A46733"/>
    <w:rsid w:val="00A46ECF"/>
    <w:rsid w:val="00A477B8"/>
    <w:rsid w:val="00A47AD5"/>
    <w:rsid w:val="00A47F03"/>
    <w:rsid w:val="00A50ADF"/>
    <w:rsid w:val="00A51683"/>
    <w:rsid w:val="00A51892"/>
    <w:rsid w:val="00A52037"/>
    <w:rsid w:val="00A52149"/>
    <w:rsid w:val="00A52281"/>
    <w:rsid w:val="00A52366"/>
    <w:rsid w:val="00A52EAC"/>
    <w:rsid w:val="00A5654D"/>
    <w:rsid w:val="00A5724F"/>
    <w:rsid w:val="00A6261F"/>
    <w:rsid w:val="00A662A3"/>
    <w:rsid w:val="00A6661A"/>
    <w:rsid w:val="00A6697F"/>
    <w:rsid w:val="00A71C8A"/>
    <w:rsid w:val="00A71ED6"/>
    <w:rsid w:val="00A760E0"/>
    <w:rsid w:val="00A77E76"/>
    <w:rsid w:val="00A80090"/>
    <w:rsid w:val="00A82646"/>
    <w:rsid w:val="00A85A64"/>
    <w:rsid w:val="00A93118"/>
    <w:rsid w:val="00A94C5E"/>
    <w:rsid w:val="00A94D60"/>
    <w:rsid w:val="00A96931"/>
    <w:rsid w:val="00AA3EC5"/>
    <w:rsid w:val="00AA48F5"/>
    <w:rsid w:val="00AA4B39"/>
    <w:rsid w:val="00AA512B"/>
    <w:rsid w:val="00AA59BE"/>
    <w:rsid w:val="00AA608B"/>
    <w:rsid w:val="00AA77C0"/>
    <w:rsid w:val="00AB1CD7"/>
    <w:rsid w:val="00AB1F5C"/>
    <w:rsid w:val="00AB4311"/>
    <w:rsid w:val="00AB49DA"/>
    <w:rsid w:val="00AB59A7"/>
    <w:rsid w:val="00AB6174"/>
    <w:rsid w:val="00AB68F7"/>
    <w:rsid w:val="00AC06A7"/>
    <w:rsid w:val="00AC077B"/>
    <w:rsid w:val="00AC0C82"/>
    <w:rsid w:val="00AC1F08"/>
    <w:rsid w:val="00AC374E"/>
    <w:rsid w:val="00AC60ED"/>
    <w:rsid w:val="00AD2373"/>
    <w:rsid w:val="00AD4DF3"/>
    <w:rsid w:val="00AD564C"/>
    <w:rsid w:val="00AD7639"/>
    <w:rsid w:val="00AE3182"/>
    <w:rsid w:val="00AE43A3"/>
    <w:rsid w:val="00AF095A"/>
    <w:rsid w:val="00AF1119"/>
    <w:rsid w:val="00AF59C3"/>
    <w:rsid w:val="00B011BB"/>
    <w:rsid w:val="00B012F2"/>
    <w:rsid w:val="00B0163B"/>
    <w:rsid w:val="00B02943"/>
    <w:rsid w:val="00B04312"/>
    <w:rsid w:val="00B0539A"/>
    <w:rsid w:val="00B06669"/>
    <w:rsid w:val="00B06F09"/>
    <w:rsid w:val="00B07DF0"/>
    <w:rsid w:val="00B14782"/>
    <w:rsid w:val="00B14B32"/>
    <w:rsid w:val="00B14BA4"/>
    <w:rsid w:val="00B14C9C"/>
    <w:rsid w:val="00B14CD3"/>
    <w:rsid w:val="00B14E05"/>
    <w:rsid w:val="00B162E1"/>
    <w:rsid w:val="00B16489"/>
    <w:rsid w:val="00B17156"/>
    <w:rsid w:val="00B1792D"/>
    <w:rsid w:val="00B17A29"/>
    <w:rsid w:val="00B17D85"/>
    <w:rsid w:val="00B21966"/>
    <w:rsid w:val="00B2363C"/>
    <w:rsid w:val="00B252F9"/>
    <w:rsid w:val="00B25977"/>
    <w:rsid w:val="00B271D8"/>
    <w:rsid w:val="00B27C45"/>
    <w:rsid w:val="00B3081B"/>
    <w:rsid w:val="00B313EB"/>
    <w:rsid w:val="00B3198A"/>
    <w:rsid w:val="00B34812"/>
    <w:rsid w:val="00B357AE"/>
    <w:rsid w:val="00B37E57"/>
    <w:rsid w:val="00B42FA5"/>
    <w:rsid w:val="00B514D3"/>
    <w:rsid w:val="00B51BC7"/>
    <w:rsid w:val="00B52134"/>
    <w:rsid w:val="00B56063"/>
    <w:rsid w:val="00B570B0"/>
    <w:rsid w:val="00B57714"/>
    <w:rsid w:val="00B57D0E"/>
    <w:rsid w:val="00B61620"/>
    <w:rsid w:val="00B64061"/>
    <w:rsid w:val="00B65BB6"/>
    <w:rsid w:val="00B7048C"/>
    <w:rsid w:val="00B71D8A"/>
    <w:rsid w:val="00B73F7D"/>
    <w:rsid w:val="00B743B9"/>
    <w:rsid w:val="00B752D8"/>
    <w:rsid w:val="00B768D7"/>
    <w:rsid w:val="00B778A3"/>
    <w:rsid w:val="00B809F3"/>
    <w:rsid w:val="00B85932"/>
    <w:rsid w:val="00B87588"/>
    <w:rsid w:val="00B92474"/>
    <w:rsid w:val="00BA0AB4"/>
    <w:rsid w:val="00BA2419"/>
    <w:rsid w:val="00BA5488"/>
    <w:rsid w:val="00BB0F2F"/>
    <w:rsid w:val="00BB1C66"/>
    <w:rsid w:val="00BB3596"/>
    <w:rsid w:val="00BB524D"/>
    <w:rsid w:val="00BB5385"/>
    <w:rsid w:val="00BB5653"/>
    <w:rsid w:val="00BB6E3C"/>
    <w:rsid w:val="00BC06CF"/>
    <w:rsid w:val="00BC133D"/>
    <w:rsid w:val="00BC3E9C"/>
    <w:rsid w:val="00BC4AF5"/>
    <w:rsid w:val="00BC5AA5"/>
    <w:rsid w:val="00BC75A9"/>
    <w:rsid w:val="00BC7CC2"/>
    <w:rsid w:val="00BD049F"/>
    <w:rsid w:val="00BD0E9D"/>
    <w:rsid w:val="00BD218A"/>
    <w:rsid w:val="00BD399A"/>
    <w:rsid w:val="00BD557E"/>
    <w:rsid w:val="00BD5B18"/>
    <w:rsid w:val="00BD5F64"/>
    <w:rsid w:val="00BD6CF8"/>
    <w:rsid w:val="00BE0201"/>
    <w:rsid w:val="00BE3232"/>
    <w:rsid w:val="00BE520C"/>
    <w:rsid w:val="00BF0C53"/>
    <w:rsid w:val="00BF16AD"/>
    <w:rsid w:val="00BF2C8B"/>
    <w:rsid w:val="00BF34A7"/>
    <w:rsid w:val="00BF3B14"/>
    <w:rsid w:val="00BF525B"/>
    <w:rsid w:val="00BF6218"/>
    <w:rsid w:val="00BF67DC"/>
    <w:rsid w:val="00C00EA2"/>
    <w:rsid w:val="00C011EE"/>
    <w:rsid w:val="00C02535"/>
    <w:rsid w:val="00C0352A"/>
    <w:rsid w:val="00C0425B"/>
    <w:rsid w:val="00C05811"/>
    <w:rsid w:val="00C0712B"/>
    <w:rsid w:val="00C07BEF"/>
    <w:rsid w:val="00C1015B"/>
    <w:rsid w:val="00C103A1"/>
    <w:rsid w:val="00C10A10"/>
    <w:rsid w:val="00C10D6A"/>
    <w:rsid w:val="00C10EC0"/>
    <w:rsid w:val="00C13B9C"/>
    <w:rsid w:val="00C14063"/>
    <w:rsid w:val="00C15102"/>
    <w:rsid w:val="00C15A56"/>
    <w:rsid w:val="00C17AEE"/>
    <w:rsid w:val="00C20353"/>
    <w:rsid w:val="00C2257C"/>
    <w:rsid w:val="00C22F0A"/>
    <w:rsid w:val="00C2325B"/>
    <w:rsid w:val="00C255F5"/>
    <w:rsid w:val="00C25B1C"/>
    <w:rsid w:val="00C26299"/>
    <w:rsid w:val="00C2651C"/>
    <w:rsid w:val="00C311E4"/>
    <w:rsid w:val="00C322BB"/>
    <w:rsid w:val="00C33540"/>
    <w:rsid w:val="00C350F2"/>
    <w:rsid w:val="00C35B73"/>
    <w:rsid w:val="00C35B8F"/>
    <w:rsid w:val="00C35FBE"/>
    <w:rsid w:val="00C3666D"/>
    <w:rsid w:val="00C40E59"/>
    <w:rsid w:val="00C418BF"/>
    <w:rsid w:val="00C42002"/>
    <w:rsid w:val="00C4258F"/>
    <w:rsid w:val="00C44562"/>
    <w:rsid w:val="00C453FB"/>
    <w:rsid w:val="00C4630B"/>
    <w:rsid w:val="00C50166"/>
    <w:rsid w:val="00C502FF"/>
    <w:rsid w:val="00C55BED"/>
    <w:rsid w:val="00C55D03"/>
    <w:rsid w:val="00C55F3E"/>
    <w:rsid w:val="00C57311"/>
    <w:rsid w:val="00C61929"/>
    <w:rsid w:val="00C62E71"/>
    <w:rsid w:val="00C63059"/>
    <w:rsid w:val="00C631FE"/>
    <w:rsid w:val="00C63C08"/>
    <w:rsid w:val="00C66CCC"/>
    <w:rsid w:val="00C676A4"/>
    <w:rsid w:val="00C67EA4"/>
    <w:rsid w:val="00C700B6"/>
    <w:rsid w:val="00C7182A"/>
    <w:rsid w:val="00C723B3"/>
    <w:rsid w:val="00C72659"/>
    <w:rsid w:val="00C734AC"/>
    <w:rsid w:val="00C73BD7"/>
    <w:rsid w:val="00C80CAC"/>
    <w:rsid w:val="00C8516B"/>
    <w:rsid w:val="00C854C1"/>
    <w:rsid w:val="00C85B81"/>
    <w:rsid w:val="00C9178F"/>
    <w:rsid w:val="00C93F76"/>
    <w:rsid w:val="00C94EDA"/>
    <w:rsid w:val="00C9655A"/>
    <w:rsid w:val="00C96FCA"/>
    <w:rsid w:val="00C9754D"/>
    <w:rsid w:val="00C975DF"/>
    <w:rsid w:val="00CA07EC"/>
    <w:rsid w:val="00CA5D84"/>
    <w:rsid w:val="00CC1960"/>
    <w:rsid w:val="00CC630B"/>
    <w:rsid w:val="00CD4F70"/>
    <w:rsid w:val="00CE1CF3"/>
    <w:rsid w:val="00CE4BC0"/>
    <w:rsid w:val="00CE70F3"/>
    <w:rsid w:val="00CE7659"/>
    <w:rsid w:val="00CF0AD0"/>
    <w:rsid w:val="00CF0E18"/>
    <w:rsid w:val="00CF29A4"/>
    <w:rsid w:val="00CF2F2E"/>
    <w:rsid w:val="00CF624D"/>
    <w:rsid w:val="00CF6E34"/>
    <w:rsid w:val="00D0495F"/>
    <w:rsid w:val="00D066D9"/>
    <w:rsid w:val="00D076EF"/>
    <w:rsid w:val="00D108C5"/>
    <w:rsid w:val="00D10D7A"/>
    <w:rsid w:val="00D1187F"/>
    <w:rsid w:val="00D11C2D"/>
    <w:rsid w:val="00D1618D"/>
    <w:rsid w:val="00D167B1"/>
    <w:rsid w:val="00D16D1B"/>
    <w:rsid w:val="00D21E9B"/>
    <w:rsid w:val="00D21F66"/>
    <w:rsid w:val="00D24B66"/>
    <w:rsid w:val="00D24C22"/>
    <w:rsid w:val="00D26476"/>
    <w:rsid w:val="00D31492"/>
    <w:rsid w:val="00D3478B"/>
    <w:rsid w:val="00D35E12"/>
    <w:rsid w:val="00D413DD"/>
    <w:rsid w:val="00D4189D"/>
    <w:rsid w:val="00D424E3"/>
    <w:rsid w:val="00D42604"/>
    <w:rsid w:val="00D43436"/>
    <w:rsid w:val="00D4389A"/>
    <w:rsid w:val="00D4400C"/>
    <w:rsid w:val="00D4436A"/>
    <w:rsid w:val="00D45829"/>
    <w:rsid w:val="00D45DEF"/>
    <w:rsid w:val="00D45FB7"/>
    <w:rsid w:val="00D45FC3"/>
    <w:rsid w:val="00D46347"/>
    <w:rsid w:val="00D46954"/>
    <w:rsid w:val="00D51E72"/>
    <w:rsid w:val="00D520E6"/>
    <w:rsid w:val="00D534EA"/>
    <w:rsid w:val="00D53DDC"/>
    <w:rsid w:val="00D540A4"/>
    <w:rsid w:val="00D54DBC"/>
    <w:rsid w:val="00D570F3"/>
    <w:rsid w:val="00D61C85"/>
    <w:rsid w:val="00D624E5"/>
    <w:rsid w:val="00D634A8"/>
    <w:rsid w:val="00D64C3D"/>
    <w:rsid w:val="00D65A1C"/>
    <w:rsid w:val="00D67099"/>
    <w:rsid w:val="00D71939"/>
    <w:rsid w:val="00D72D27"/>
    <w:rsid w:val="00D73317"/>
    <w:rsid w:val="00D743C8"/>
    <w:rsid w:val="00D743DA"/>
    <w:rsid w:val="00D744B5"/>
    <w:rsid w:val="00D745B1"/>
    <w:rsid w:val="00D74C5F"/>
    <w:rsid w:val="00D753F3"/>
    <w:rsid w:val="00D87A2C"/>
    <w:rsid w:val="00D9045B"/>
    <w:rsid w:val="00D90EA9"/>
    <w:rsid w:val="00D93869"/>
    <w:rsid w:val="00D941C3"/>
    <w:rsid w:val="00D94A99"/>
    <w:rsid w:val="00D95324"/>
    <w:rsid w:val="00D95482"/>
    <w:rsid w:val="00DA0390"/>
    <w:rsid w:val="00DA0A88"/>
    <w:rsid w:val="00DA1940"/>
    <w:rsid w:val="00DA3C3C"/>
    <w:rsid w:val="00DA6B5C"/>
    <w:rsid w:val="00DB05EC"/>
    <w:rsid w:val="00DB166E"/>
    <w:rsid w:val="00DB3D8C"/>
    <w:rsid w:val="00DB3E4C"/>
    <w:rsid w:val="00DB43B8"/>
    <w:rsid w:val="00DB7BD1"/>
    <w:rsid w:val="00DB7C8A"/>
    <w:rsid w:val="00DC2DC5"/>
    <w:rsid w:val="00DC341B"/>
    <w:rsid w:val="00DD0028"/>
    <w:rsid w:val="00DD2BCD"/>
    <w:rsid w:val="00DD35E7"/>
    <w:rsid w:val="00DD5486"/>
    <w:rsid w:val="00DD650E"/>
    <w:rsid w:val="00DD7968"/>
    <w:rsid w:val="00DE0B7E"/>
    <w:rsid w:val="00DE1418"/>
    <w:rsid w:val="00DE2205"/>
    <w:rsid w:val="00DE421E"/>
    <w:rsid w:val="00DE5454"/>
    <w:rsid w:val="00DE7F41"/>
    <w:rsid w:val="00DF0F50"/>
    <w:rsid w:val="00DF2309"/>
    <w:rsid w:val="00DF28DC"/>
    <w:rsid w:val="00DF3915"/>
    <w:rsid w:val="00DF44AC"/>
    <w:rsid w:val="00DF4CE2"/>
    <w:rsid w:val="00E0168F"/>
    <w:rsid w:val="00E12071"/>
    <w:rsid w:val="00E12660"/>
    <w:rsid w:val="00E12838"/>
    <w:rsid w:val="00E15A8B"/>
    <w:rsid w:val="00E15BBF"/>
    <w:rsid w:val="00E15ECD"/>
    <w:rsid w:val="00E230D8"/>
    <w:rsid w:val="00E23F00"/>
    <w:rsid w:val="00E2599A"/>
    <w:rsid w:val="00E26A0F"/>
    <w:rsid w:val="00E30F2C"/>
    <w:rsid w:val="00E30FA5"/>
    <w:rsid w:val="00E318D4"/>
    <w:rsid w:val="00E339EE"/>
    <w:rsid w:val="00E3557A"/>
    <w:rsid w:val="00E4014C"/>
    <w:rsid w:val="00E401FC"/>
    <w:rsid w:val="00E42D1B"/>
    <w:rsid w:val="00E4558E"/>
    <w:rsid w:val="00E46C0B"/>
    <w:rsid w:val="00E46FAB"/>
    <w:rsid w:val="00E474DC"/>
    <w:rsid w:val="00E5155C"/>
    <w:rsid w:val="00E52FF2"/>
    <w:rsid w:val="00E5385B"/>
    <w:rsid w:val="00E55EA9"/>
    <w:rsid w:val="00E56307"/>
    <w:rsid w:val="00E56D55"/>
    <w:rsid w:val="00E56F52"/>
    <w:rsid w:val="00E57D47"/>
    <w:rsid w:val="00E57F76"/>
    <w:rsid w:val="00E60696"/>
    <w:rsid w:val="00E6152A"/>
    <w:rsid w:val="00E62028"/>
    <w:rsid w:val="00E6393C"/>
    <w:rsid w:val="00E679B3"/>
    <w:rsid w:val="00E67E51"/>
    <w:rsid w:val="00E708C5"/>
    <w:rsid w:val="00E76BE0"/>
    <w:rsid w:val="00E7790B"/>
    <w:rsid w:val="00E81714"/>
    <w:rsid w:val="00E91546"/>
    <w:rsid w:val="00E91678"/>
    <w:rsid w:val="00E9206E"/>
    <w:rsid w:val="00E93438"/>
    <w:rsid w:val="00E93F64"/>
    <w:rsid w:val="00E96092"/>
    <w:rsid w:val="00E96737"/>
    <w:rsid w:val="00EA0668"/>
    <w:rsid w:val="00EA127F"/>
    <w:rsid w:val="00EA1F53"/>
    <w:rsid w:val="00EA4376"/>
    <w:rsid w:val="00EA70DC"/>
    <w:rsid w:val="00EB01FF"/>
    <w:rsid w:val="00EB06C6"/>
    <w:rsid w:val="00EB1B47"/>
    <w:rsid w:val="00EB46E1"/>
    <w:rsid w:val="00EB7BD6"/>
    <w:rsid w:val="00EC20FD"/>
    <w:rsid w:val="00EC2EF8"/>
    <w:rsid w:val="00EC3DAC"/>
    <w:rsid w:val="00EC42FF"/>
    <w:rsid w:val="00EC5A73"/>
    <w:rsid w:val="00ED3B7C"/>
    <w:rsid w:val="00ED3D0C"/>
    <w:rsid w:val="00ED4AEF"/>
    <w:rsid w:val="00ED527A"/>
    <w:rsid w:val="00ED570E"/>
    <w:rsid w:val="00ED5CFE"/>
    <w:rsid w:val="00ED7D8C"/>
    <w:rsid w:val="00EE005A"/>
    <w:rsid w:val="00EE05CF"/>
    <w:rsid w:val="00EE10AE"/>
    <w:rsid w:val="00EE2DA2"/>
    <w:rsid w:val="00EE4290"/>
    <w:rsid w:val="00EE589E"/>
    <w:rsid w:val="00EE76D0"/>
    <w:rsid w:val="00EE7C89"/>
    <w:rsid w:val="00EE7FB7"/>
    <w:rsid w:val="00EF1185"/>
    <w:rsid w:val="00EF754D"/>
    <w:rsid w:val="00F027E9"/>
    <w:rsid w:val="00F0775E"/>
    <w:rsid w:val="00F15F69"/>
    <w:rsid w:val="00F1612D"/>
    <w:rsid w:val="00F173DD"/>
    <w:rsid w:val="00F21119"/>
    <w:rsid w:val="00F21A50"/>
    <w:rsid w:val="00F25164"/>
    <w:rsid w:val="00F252C7"/>
    <w:rsid w:val="00F277D3"/>
    <w:rsid w:val="00F30997"/>
    <w:rsid w:val="00F32896"/>
    <w:rsid w:val="00F33C08"/>
    <w:rsid w:val="00F41AE7"/>
    <w:rsid w:val="00F41F44"/>
    <w:rsid w:val="00F42D17"/>
    <w:rsid w:val="00F43C95"/>
    <w:rsid w:val="00F457A0"/>
    <w:rsid w:val="00F46492"/>
    <w:rsid w:val="00F477B5"/>
    <w:rsid w:val="00F47B01"/>
    <w:rsid w:val="00F5057E"/>
    <w:rsid w:val="00F53410"/>
    <w:rsid w:val="00F541F8"/>
    <w:rsid w:val="00F5470A"/>
    <w:rsid w:val="00F551E6"/>
    <w:rsid w:val="00F5563D"/>
    <w:rsid w:val="00F56891"/>
    <w:rsid w:val="00F64CD4"/>
    <w:rsid w:val="00F64F37"/>
    <w:rsid w:val="00F65AB2"/>
    <w:rsid w:val="00F73E78"/>
    <w:rsid w:val="00F740C2"/>
    <w:rsid w:val="00F7591E"/>
    <w:rsid w:val="00F75EF9"/>
    <w:rsid w:val="00F77040"/>
    <w:rsid w:val="00F776DC"/>
    <w:rsid w:val="00F77A9B"/>
    <w:rsid w:val="00F81ABB"/>
    <w:rsid w:val="00F83035"/>
    <w:rsid w:val="00F866B0"/>
    <w:rsid w:val="00F869EF"/>
    <w:rsid w:val="00F86BE4"/>
    <w:rsid w:val="00F86C7B"/>
    <w:rsid w:val="00F86D61"/>
    <w:rsid w:val="00F905B6"/>
    <w:rsid w:val="00F90B31"/>
    <w:rsid w:val="00F914B2"/>
    <w:rsid w:val="00F926B9"/>
    <w:rsid w:val="00F9541D"/>
    <w:rsid w:val="00FA0403"/>
    <w:rsid w:val="00FA0CE6"/>
    <w:rsid w:val="00FA1149"/>
    <w:rsid w:val="00FA198E"/>
    <w:rsid w:val="00FA35FB"/>
    <w:rsid w:val="00FA597D"/>
    <w:rsid w:val="00FA5B9A"/>
    <w:rsid w:val="00FB01B9"/>
    <w:rsid w:val="00FB763A"/>
    <w:rsid w:val="00FB79C0"/>
    <w:rsid w:val="00FC2EB8"/>
    <w:rsid w:val="00FC41C5"/>
    <w:rsid w:val="00FC5C43"/>
    <w:rsid w:val="00FD1598"/>
    <w:rsid w:val="00FD576E"/>
    <w:rsid w:val="00FD596B"/>
    <w:rsid w:val="00FE2C3D"/>
    <w:rsid w:val="00FE58CC"/>
    <w:rsid w:val="00FE620E"/>
    <w:rsid w:val="00FE75A9"/>
    <w:rsid w:val="00FE7A98"/>
    <w:rsid w:val="00FF058D"/>
    <w:rsid w:val="00FF1D8E"/>
    <w:rsid w:val="00FF2440"/>
    <w:rsid w:val="00FF322C"/>
    <w:rsid w:val="00FF3922"/>
    <w:rsid w:val="00FF7745"/>
    <w:rsid w:val="00FF7BCB"/>
  </w:rsids>
  <m:mathPr>
    <m:mathFont m:val="Cambria Math"/>
    <m:brkBin m:val="before"/>
    <m:brkBinSub m:val="--"/>
    <m:smallFrac m:val="0"/>
    <m:dispDef/>
    <m:lMargin m:val="0"/>
    <m:rMargin m:val="0"/>
    <m:defJc m:val="centerGroup"/>
    <m:wrapIndent m:val="1440"/>
    <m:intLim m:val="subSup"/>
    <m:naryLim m:val="undOvr"/>
  </m:mathPr>
  <w:themeFontLang w:val="ms-MY"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73546B"/>
  <w15:docId w15:val="{2B1AF531-4BFE-47F5-9B15-82343B705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546"/>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74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102A61"/>
    <w:rPr>
      <w:color w:val="0000FF"/>
      <w:u w:val="single"/>
    </w:rPr>
  </w:style>
  <w:style w:type="paragraph" w:styleId="Header">
    <w:name w:val="header"/>
    <w:basedOn w:val="Normal"/>
    <w:rsid w:val="0094367D"/>
    <w:pPr>
      <w:tabs>
        <w:tab w:val="center" w:pos="4320"/>
        <w:tab w:val="right" w:pos="8640"/>
      </w:tabs>
    </w:pPr>
  </w:style>
  <w:style w:type="paragraph" w:styleId="Footer">
    <w:name w:val="footer"/>
    <w:basedOn w:val="Normal"/>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link w:val="ListParagraphChar"/>
    <w:uiPriority w:val="34"/>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 w:type="character" w:customStyle="1" w:styleId="ListParagraphChar">
    <w:name w:val="List Paragraph Char"/>
    <w:link w:val="ListParagraph"/>
    <w:uiPriority w:val="34"/>
    <w:locked/>
    <w:rsid w:val="00F252C7"/>
    <w:rPr>
      <w:rFonts w:ascii="Calibri" w:hAnsi="Calibri"/>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331985">
      <w:bodyDiv w:val="1"/>
      <w:marLeft w:val="0"/>
      <w:marRight w:val="0"/>
      <w:marTop w:val="0"/>
      <w:marBottom w:val="0"/>
      <w:divBdr>
        <w:top w:val="none" w:sz="0" w:space="0" w:color="auto"/>
        <w:left w:val="none" w:sz="0" w:space="0" w:color="auto"/>
        <w:bottom w:val="none" w:sz="0" w:space="0" w:color="auto"/>
        <w:right w:val="none" w:sz="0" w:space="0" w:color="auto"/>
      </w:divBdr>
    </w:div>
    <w:div w:id="512257388">
      <w:bodyDiv w:val="1"/>
      <w:marLeft w:val="0"/>
      <w:marRight w:val="0"/>
      <w:marTop w:val="0"/>
      <w:marBottom w:val="0"/>
      <w:divBdr>
        <w:top w:val="none" w:sz="0" w:space="0" w:color="auto"/>
        <w:left w:val="none" w:sz="0" w:space="0" w:color="auto"/>
        <w:bottom w:val="none" w:sz="0" w:space="0" w:color="auto"/>
        <w:right w:val="none" w:sz="0" w:space="0" w:color="auto"/>
      </w:divBdr>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26213900">
      <w:bodyDiv w:val="1"/>
      <w:marLeft w:val="0"/>
      <w:marRight w:val="0"/>
      <w:marTop w:val="0"/>
      <w:marBottom w:val="0"/>
      <w:divBdr>
        <w:top w:val="none" w:sz="0" w:space="0" w:color="auto"/>
        <w:left w:val="none" w:sz="0" w:space="0" w:color="auto"/>
        <w:bottom w:val="none" w:sz="0" w:space="0" w:color="auto"/>
        <w:right w:val="none" w:sz="0" w:space="0" w:color="auto"/>
      </w:divBdr>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893924965">
      <w:bodyDiv w:val="1"/>
      <w:marLeft w:val="0"/>
      <w:marRight w:val="0"/>
      <w:marTop w:val="0"/>
      <w:marBottom w:val="0"/>
      <w:divBdr>
        <w:top w:val="none" w:sz="0" w:space="0" w:color="auto"/>
        <w:left w:val="none" w:sz="0" w:space="0" w:color="auto"/>
        <w:bottom w:val="none" w:sz="0" w:space="0" w:color="auto"/>
        <w:right w:val="none" w:sz="0" w:space="0" w:color="auto"/>
      </w:divBdr>
    </w:div>
    <w:div w:id="940915598">
      <w:bodyDiv w:val="1"/>
      <w:marLeft w:val="0"/>
      <w:marRight w:val="0"/>
      <w:marTop w:val="0"/>
      <w:marBottom w:val="0"/>
      <w:divBdr>
        <w:top w:val="none" w:sz="0" w:space="0" w:color="auto"/>
        <w:left w:val="none" w:sz="0" w:space="0" w:color="auto"/>
        <w:bottom w:val="none" w:sz="0" w:space="0" w:color="auto"/>
        <w:right w:val="none" w:sz="0" w:space="0" w:color="auto"/>
      </w:divBdr>
    </w:div>
    <w:div w:id="1303072542">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671371577">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1986157178">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eativecommons.org/licenses/by-sa/4.0/"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93E29B-C8C4-4C30-9C0F-762C6693BA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18938</Words>
  <Characters>107948</Characters>
  <Application>Microsoft Office Word</Application>
  <DocSecurity>0</DocSecurity>
  <Lines>899</Lines>
  <Paragraphs>253</Paragraphs>
  <ScaleCrop>false</ScaleCrop>
  <HeadingPairs>
    <vt:vector size="2" baseType="variant">
      <vt:variant>
        <vt:lpstr>Title</vt:lpstr>
      </vt:variant>
      <vt:variant>
        <vt:i4>1</vt:i4>
      </vt:variant>
    </vt:vector>
  </HeadingPairs>
  <TitlesOfParts>
    <vt:vector size="1" baseType="lpstr">
      <vt:lpstr>IJPHS</vt:lpstr>
    </vt:vector>
  </TitlesOfParts>
  <Company>cairo</Company>
  <LinksUpToDate>false</LinksUpToDate>
  <CharactersWithSpaces>126633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IJPHS</dc:title>
  <dc:creator>LENOVO C340</dc:creator>
  <cp:lastModifiedBy>LENOVO C340</cp:lastModifiedBy>
  <cp:revision>2</cp:revision>
  <cp:lastPrinted>2019-03-21T07:47:00Z</cp:lastPrinted>
  <dcterms:created xsi:type="dcterms:W3CDTF">2021-10-16T05:01:00Z</dcterms:created>
  <dcterms:modified xsi:type="dcterms:W3CDTF">2021-10-16T05:01:00Z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http://www.zotero.org/styles/ieee</vt:lpwstr>
  </property>
  <property fmtid="{D5CDD505-2E9C-101B-9397-08002B2CF9AE}" pid="4" name="Mendeley Unique User Id_1">
    <vt:lpwstr>41370474-d5c2-3bae-82ac-11f05da0fea0</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 6th edition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10th edition - Harvard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8th edition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