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8214" w14:textId="208D40C9" w:rsidR="00904D6D" w:rsidRPr="003D5B84" w:rsidRDefault="005E17F2" w:rsidP="00956EB6">
      <w:pPr>
        <w:pStyle w:val="Title"/>
      </w:pPr>
      <w:r w:rsidRPr="005E17F2">
        <w:rPr>
          <w:sz w:val="32"/>
          <w:szCs w:val="32"/>
        </w:rPr>
        <w:t>Dengue Fever (DF) vulnerability assessment and mapping in Gorontalo Regency using multi-criteria analysis (AHP) model and geoinformation techniques</w:t>
      </w:r>
    </w:p>
    <w:p w14:paraId="466930B4" w14:textId="77777777" w:rsidR="00904D6D" w:rsidRPr="003D5B84" w:rsidRDefault="00904D6D" w:rsidP="00904D6D">
      <w:pPr>
        <w:jc w:val="center"/>
        <w:rPr>
          <w:b/>
          <w:bCs/>
        </w:rPr>
      </w:pPr>
    </w:p>
    <w:p w14:paraId="4C7E318C" w14:textId="77777777" w:rsidR="00250A66" w:rsidRPr="003D5B84" w:rsidRDefault="00250A66" w:rsidP="00904D6D">
      <w:pPr>
        <w:jc w:val="center"/>
        <w:rPr>
          <w:b/>
          <w:bCs/>
        </w:rPr>
      </w:pPr>
    </w:p>
    <w:p w14:paraId="203F9EA1" w14:textId="59C6856C" w:rsidR="00904D6D" w:rsidRPr="00D74C5F" w:rsidRDefault="005E17F2" w:rsidP="00904D6D">
      <w:pPr>
        <w:jc w:val="center"/>
        <w:rPr>
          <w:b/>
          <w:bCs/>
        </w:rPr>
      </w:pPr>
      <w:proofErr w:type="spellStart"/>
      <w:r>
        <w:rPr>
          <w:b/>
          <w:bCs/>
        </w:rPr>
        <w:t>Ririn</w:t>
      </w:r>
      <w:proofErr w:type="spellEnd"/>
      <w:r>
        <w:rPr>
          <w:b/>
          <w:bCs/>
        </w:rPr>
        <w:t xml:space="preserve"> Pakaya</w:t>
      </w:r>
      <w:r w:rsidR="00530415" w:rsidRPr="00530415">
        <w:rPr>
          <w:b/>
          <w:bCs/>
          <w:vertAlign w:val="superscript"/>
        </w:rPr>
        <w:t>1</w:t>
      </w:r>
      <w:r w:rsidR="00E12660" w:rsidRPr="003D5B84">
        <w:rPr>
          <w:b/>
          <w:bCs/>
          <w:lang w:val="id-ID"/>
        </w:rPr>
        <w:t xml:space="preserve">, </w:t>
      </w:r>
      <w:r>
        <w:rPr>
          <w:b/>
          <w:bCs/>
        </w:rPr>
        <w:t xml:space="preserve">Muhammad </w:t>
      </w:r>
      <w:proofErr w:type="spellStart"/>
      <w:r>
        <w:rPr>
          <w:b/>
          <w:bCs/>
        </w:rPr>
        <w:t>Ramdhan</w:t>
      </w:r>
      <w:proofErr w:type="spellEnd"/>
      <w:r>
        <w:rPr>
          <w:b/>
          <w:bCs/>
        </w:rPr>
        <w:t xml:space="preserve"> Olii</w:t>
      </w:r>
      <w:r w:rsidR="00530415" w:rsidRPr="00530415">
        <w:rPr>
          <w:b/>
          <w:bCs/>
          <w:vertAlign w:val="superscript"/>
        </w:rPr>
        <w:t>2</w:t>
      </w:r>
      <w:r w:rsidR="00E12660" w:rsidRPr="003D5B84">
        <w:rPr>
          <w:b/>
          <w:bCs/>
          <w:lang w:val="id-ID"/>
        </w:rPr>
        <w:t xml:space="preserve">, </w:t>
      </w:r>
      <w:r w:rsidRPr="005E17F2">
        <w:rPr>
          <w:b/>
          <w:bCs/>
          <w:lang w:val="id-ID"/>
        </w:rPr>
        <w:t xml:space="preserve">Yanti Hz. Hano </w:t>
      </w:r>
      <w:r w:rsidR="00530415" w:rsidRPr="00530415">
        <w:rPr>
          <w:b/>
          <w:bCs/>
          <w:vertAlign w:val="superscript"/>
        </w:rPr>
        <w:t>3</w:t>
      </w:r>
      <w:r w:rsidR="00D74C5F">
        <w:rPr>
          <w:b/>
          <w:bCs/>
        </w:rPr>
        <w:t xml:space="preserve"> (10 </w:t>
      </w:r>
      <w:proofErr w:type="spellStart"/>
      <w:r w:rsidR="00D74C5F">
        <w:rPr>
          <w:b/>
          <w:bCs/>
        </w:rPr>
        <w:t>pt</w:t>
      </w:r>
      <w:proofErr w:type="spellEnd"/>
      <w:r w:rsidR="00D74C5F">
        <w:rPr>
          <w:b/>
          <w:bCs/>
        </w:rPr>
        <w:t>)</w:t>
      </w:r>
    </w:p>
    <w:p w14:paraId="1A04765B" w14:textId="5DB3BE56" w:rsidR="005E17F2" w:rsidRPr="005E17F2" w:rsidRDefault="005E17F2" w:rsidP="005E17F2">
      <w:pPr>
        <w:pBdr>
          <w:top w:val="nil"/>
          <w:left w:val="nil"/>
          <w:bottom w:val="nil"/>
          <w:right w:val="nil"/>
          <w:between w:val="nil"/>
        </w:pBdr>
        <w:tabs>
          <w:tab w:val="left" w:pos="7500"/>
        </w:tabs>
        <w:jc w:val="center"/>
        <w:rPr>
          <w:rFonts w:eastAsia="Noto Sans"/>
          <w:color w:val="000000"/>
          <w:sz w:val="18"/>
          <w:szCs w:val="18"/>
        </w:rPr>
      </w:pPr>
      <w:r w:rsidRPr="005E17F2">
        <w:rPr>
          <w:rFonts w:eastAsia="Noto Sans"/>
          <w:color w:val="000000"/>
          <w:sz w:val="18"/>
          <w:szCs w:val="18"/>
          <w:vertAlign w:val="superscript"/>
        </w:rPr>
        <w:t>1,</w:t>
      </w:r>
      <w:r w:rsidR="003B2BB2">
        <w:rPr>
          <w:rFonts w:eastAsia="Noto Sans"/>
          <w:color w:val="000000"/>
          <w:sz w:val="18"/>
          <w:szCs w:val="18"/>
          <w:vertAlign w:val="superscript"/>
        </w:rPr>
        <w:t>3</w:t>
      </w:r>
      <w:r w:rsidRPr="005E17F2">
        <w:rPr>
          <w:rFonts w:eastAsia="Noto Sans"/>
          <w:color w:val="000000"/>
          <w:sz w:val="18"/>
          <w:szCs w:val="18"/>
        </w:rPr>
        <w:t xml:space="preserve">Department of Public Health, Universitas </w:t>
      </w:r>
      <w:r w:rsidRPr="005E17F2">
        <w:rPr>
          <w:rFonts w:eastAsia="Noto Sans"/>
          <w:color w:val="000000"/>
          <w:sz w:val="18"/>
          <w:szCs w:val="18"/>
          <w:lang w:val="id-ID"/>
        </w:rPr>
        <w:t>Gorontalo</w:t>
      </w:r>
      <w:r w:rsidRPr="005E17F2">
        <w:rPr>
          <w:rFonts w:eastAsia="Noto Sans"/>
          <w:color w:val="000000"/>
          <w:sz w:val="18"/>
          <w:szCs w:val="18"/>
        </w:rPr>
        <w:t xml:space="preserve">, </w:t>
      </w:r>
      <w:r w:rsidRPr="005E17F2">
        <w:rPr>
          <w:rFonts w:eastAsia="Noto Sans"/>
          <w:color w:val="000000"/>
          <w:sz w:val="18"/>
          <w:szCs w:val="18"/>
          <w:lang w:val="id-ID"/>
        </w:rPr>
        <w:t>Gorontalo</w:t>
      </w:r>
      <w:r w:rsidRPr="005E17F2">
        <w:rPr>
          <w:rFonts w:eastAsia="Noto Sans"/>
          <w:color w:val="000000"/>
          <w:sz w:val="18"/>
          <w:szCs w:val="18"/>
        </w:rPr>
        <w:t>, Indonesia</w:t>
      </w:r>
    </w:p>
    <w:p w14:paraId="383D4FCF" w14:textId="77777777" w:rsidR="005E17F2" w:rsidRPr="005E17F2" w:rsidRDefault="005E17F2" w:rsidP="005E17F2">
      <w:pPr>
        <w:pBdr>
          <w:top w:val="nil"/>
          <w:left w:val="nil"/>
          <w:bottom w:val="nil"/>
          <w:right w:val="nil"/>
          <w:between w:val="nil"/>
        </w:pBdr>
        <w:tabs>
          <w:tab w:val="left" w:pos="7500"/>
        </w:tabs>
        <w:jc w:val="center"/>
        <w:rPr>
          <w:rFonts w:eastAsia="Noto Sans"/>
          <w:color w:val="000000"/>
          <w:sz w:val="18"/>
          <w:szCs w:val="18"/>
        </w:rPr>
      </w:pPr>
      <w:r w:rsidRPr="005E17F2">
        <w:rPr>
          <w:rFonts w:eastAsia="Noto Sans"/>
          <w:color w:val="000000"/>
          <w:sz w:val="18"/>
          <w:szCs w:val="18"/>
        </w:rPr>
        <w:t xml:space="preserve">Jalan </w:t>
      </w:r>
      <w:r w:rsidRPr="005E17F2">
        <w:rPr>
          <w:rFonts w:eastAsia="Noto Sans"/>
          <w:color w:val="000000"/>
          <w:sz w:val="18"/>
          <w:szCs w:val="18"/>
          <w:lang w:val="id-ID"/>
        </w:rPr>
        <w:t>A.A. Wahab No. 247, Limboto, Gorontalo</w:t>
      </w:r>
      <w:r w:rsidRPr="005E17F2">
        <w:rPr>
          <w:rFonts w:eastAsia="Noto Sans"/>
          <w:color w:val="000000"/>
          <w:sz w:val="18"/>
          <w:szCs w:val="18"/>
        </w:rPr>
        <w:t xml:space="preserve"> </w:t>
      </w:r>
    </w:p>
    <w:p w14:paraId="232B8E5E" w14:textId="506FB5D2" w:rsidR="005E17F2" w:rsidRPr="005E17F2" w:rsidRDefault="003B2BB2" w:rsidP="005E17F2">
      <w:pPr>
        <w:pBdr>
          <w:top w:val="nil"/>
          <w:left w:val="nil"/>
          <w:bottom w:val="nil"/>
          <w:right w:val="nil"/>
          <w:between w:val="nil"/>
        </w:pBdr>
        <w:tabs>
          <w:tab w:val="left" w:pos="7500"/>
        </w:tabs>
        <w:jc w:val="center"/>
        <w:rPr>
          <w:rFonts w:eastAsia="Noto Sans"/>
          <w:color w:val="000000"/>
          <w:sz w:val="18"/>
          <w:szCs w:val="18"/>
        </w:rPr>
      </w:pPr>
      <w:r>
        <w:rPr>
          <w:rFonts w:eastAsia="Noto Sans"/>
          <w:color w:val="000000"/>
          <w:sz w:val="18"/>
          <w:szCs w:val="18"/>
          <w:vertAlign w:val="superscript"/>
        </w:rPr>
        <w:t>2</w:t>
      </w:r>
      <w:r w:rsidR="005E17F2" w:rsidRPr="005E17F2">
        <w:rPr>
          <w:rFonts w:eastAsia="Noto Sans"/>
          <w:color w:val="000000"/>
          <w:sz w:val="18"/>
          <w:szCs w:val="18"/>
        </w:rPr>
        <w:t xml:space="preserve">Department of Civil Engineering, Universitas </w:t>
      </w:r>
      <w:r w:rsidR="005E17F2" w:rsidRPr="005E17F2">
        <w:rPr>
          <w:rFonts w:eastAsia="Noto Sans"/>
          <w:color w:val="000000"/>
          <w:sz w:val="18"/>
          <w:szCs w:val="18"/>
          <w:lang w:val="id-ID"/>
        </w:rPr>
        <w:t>Gorontalo</w:t>
      </w:r>
      <w:r w:rsidR="005E17F2" w:rsidRPr="005E17F2">
        <w:rPr>
          <w:rFonts w:eastAsia="Noto Sans"/>
          <w:color w:val="000000"/>
          <w:sz w:val="18"/>
          <w:szCs w:val="18"/>
        </w:rPr>
        <w:t xml:space="preserve">, </w:t>
      </w:r>
      <w:r w:rsidR="005E17F2" w:rsidRPr="005E17F2">
        <w:rPr>
          <w:rFonts w:eastAsia="Noto Sans"/>
          <w:color w:val="000000"/>
          <w:sz w:val="18"/>
          <w:szCs w:val="18"/>
          <w:lang w:val="id-ID"/>
        </w:rPr>
        <w:t>Gorontalo</w:t>
      </w:r>
      <w:r w:rsidR="005E17F2" w:rsidRPr="005E17F2">
        <w:rPr>
          <w:rFonts w:eastAsia="Noto Sans"/>
          <w:color w:val="000000"/>
          <w:sz w:val="18"/>
          <w:szCs w:val="18"/>
        </w:rPr>
        <w:t>, Indonesia</w:t>
      </w:r>
    </w:p>
    <w:p w14:paraId="590181A4" w14:textId="77777777" w:rsidR="005E17F2" w:rsidRPr="0086281B" w:rsidRDefault="005E17F2" w:rsidP="005E17F2">
      <w:pPr>
        <w:pBdr>
          <w:top w:val="nil"/>
          <w:left w:val="nil"/>
          <w:bottom w:val="nil"/>
          <w:right w:val="nil"/>
          <w:between w:val="nil"/>
        </w:pBdr>
        <w:tabs>
          <w:tab w:val="left" w:pos="7500"/>
        </w:tabs>
        <w:jc w:val="center"/>
        <w:rPr>
          <w:rFonts w:ascii="Noto Sans" w:eastAsia="Noto Sans" w:hAnsi="Noto Sans" w:cs="Noto Sans"/>
          <w:color w:val="000000"/>
          <w:sz w:val="16"/>
          <w:szCs w:val="16"/>
          <w:lang w:val="id-ID"/>
        </w:rPr>
      </w:pPr>
      <w:r w:rsidRPr="005E17F2">
        <w:rPr>
          <w:rFonts w:eastAsia="Noto Sans"/>
          <w:color w:val="000000"/>
          <w:sz w:val="18"/>
          <w:szCs w:val="18"/>
        </w:rPr>
        <w:t xml:space="preserve">Jalan </w:t>
      </w:r>
      <w:r w:rsidRPr="005E17F2">
        <w:rPr>
          <w:rFonts w:eastAsia="Noto Sans"/>
          <w:color w:val="000000"/>
          <w:sz w:val="18"/>
          <w:szCs w:val="18"/>
          <w:lang w:val="id-ID"/>
        </w:rPr>
        <w:t>A.A. Wahab No. 247, Limboto, Gorontalo</w:t>
      </w:r>
    </w:p>
    <w:p w14:paraId="1C71B3E7" w14:textId="45B709EC" w:rsidR="00904D6D" w:rsidRPr="00E2599A" w:rsidRDefault="00904D6D" w:rsidP="00E2599A">
      <w:pPr>
        <w:jc w:val="center"/>
        <w:rPr>
          <w:sz w:val="18"/>
          <w:szCs w:val="18"/>
        </w:rPr>
      </w:pPr>
    </w:p>
    <w:p w14:paraId="510F63C8" w14:textId="77777777" w:rsidR="00904D6D" w:rsidRDefault="00904D6D" w:rsidP="0088233C">
      <w:pPr>
        <w:jc w:val="center"/>
      </w:pPr>
    </w:p>
    <w:p w14:paraId="5673D8B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63D8B05C" w14:textId="77777777" w:rsidTr="00C07BEF">
        <w:tc>
          <w:tcPr>
            <w:tcW w:w="2802" w:type="dxa"/>
            <w:tcBorders>
              <w:top w:val="double" w:sz="4" w:space="0" w:color="auto"/>
              <w:left w:val="nil"/>
              <w:bottom w:val="single" w:sz="4" w:space="0" w:color="auto"/>
              <w:right w:val="nil"/>
            </w:tcBorders>
          </w:tcPr>
          <w:p w14:paraId="354D648E"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75177C64"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10BFC3F"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217526EA" w14:textId="77777777" w:rsidTr="00C07BEF">
        <w:trPr>
          <w:trHeight w:val="1268"/>
        </w:trPr>
        <w:tc>
          <w:tcPr>
            <w:tcW w:w="2802" w:type="dxa"/>
            <w:tcBorders>
              <w:top w:val="single" w:sz="4" w:space="0" w:color="auto"/>
              <w:left w:val="nil"/>
              <w:bottom w:val="single" w:sz="4" w:space="0" w:color="auto"/>
              <w:right w:val="nil"/>
            </w:tcBorders>
          </w:tcPr>
          <w:p w14:paraId="0AF2B176" w14:textId="77777777" w:rsidR="00941203" w:rsidRPr="007F286F" w:rsidRDefault="00941203" w:rsidP="00941203">
            <w:pPr>
              <w:spacing w:before="120" w:after="120"/>
              <w:jc w:val="both"/>
              <w:rPr>
                <w:b/>
                <w:i/>
              </w:rPr>
            </w:pPr>
            <w:r w:rsidRPr="007F286F">
              <w:rPr>
                <w:b/>
                <w:i/>
              </w:rPr>
              <w:t>Article history:</w:t>
            </w:r>
          </w:p>
          <w:p w14:paraId="1B8EAEE5" w14:textId="1618CB27" w:rsidR="00941203" w:rsidRDefault="00941203" w:rsidP="00957C11">
            <w:pPr>
              <w:jc w:val="both"/>
            </w:pPr>
            <w:r w:rsidRPr="00957C11">
              <w:t>Received</w:t>
            </w:r>
            <w:r>
              <w:t xml:space="preserve"> </w:t>
            </w:r>
            <w:r w:rsidR="0085352C">
              <w:t>Jun</w:t>
            </w:r>
            <w:r w:rsidR="00FF3922">
              <w:t xml:space="preserve"> 9</w:t>
            </w:r>
            <w:r>
              <w:t>, 20</w:t>
            </w:r>
            <w:r w:rsidR="00B13D31">
              <w:t>21</w:t>
            </w:r>
          </w:p>
          <w:p w14:paraId="4BD8556B" w14:textId="7749C0F7" w:rsidR="00941203" w:rsidRDefault="00941203" w:rsidP="00957C11">
            <w:pPr>
              <w:jc w:val="both"/>
            </w:pPr>
            <w:r>
              <w:t xml:space="preserve">Revised </w:t>
            </w:r>
            <w:r w:rsidR="00B13D31">
              <w:t>July</w:t>
            </w:r>
            <w:r w:rsidR="00091730">
              <w:t xml:space="preserve"> 2</w:t>
            </w:r>
            <w:r w:rsidR="0085352C">
              <w:t>0</w:t>
            </w:r>
            <w:r>
              <w:t>, 20</w:t>
            </w:r>
            <w:r w:rsidR="00B13D31">
              <w:t>21</w:t>
            </w:r>
          </w:p>
          <w:p w14:paraId="4551B5A0" w14:textId="7F9D16EF" w:rsidR="00941203" w:rsidRDefault="00941203" w:rsidP="00957C11">
            <w:pPr>
              <w:jc w:val="both"/>
            </w:pPr>
            <w:r>
              <w:t xml:space="preserve">Accepted </w:t>
            </w:r>
            <w:r w:rsidR="00B13D31">
              <w:t>Sep</w:t>
            </w:r>
            <w:r w:rsidR="0085352C">
              <w:t xml:space="preserve"> 11</w:t>
            </w:r>
            <w:r>
              <w:t>, 20</w:t>
            </w:r>
            <w:r w:rsidR="00B13D31">
              <w:t>21</w:t>
            </w:r>
          </w:p>
          <w:p w14:paraId="6AB1871A" w14:textId="77777777" w:rsidR="00941203" w:rsidRPr="00957C11" w:rsidRDefault="00941203" w:rsidP="00941203">
            <w:pPr>
              <w:jc w:val="both"/>
            </w:pPr>
          </w:p>
        </w:tc>
        <w:tc>
          <w:tcPr>
            <w:tcW w:w="283" w:type="dxa"/>
            <w:vMerge w:val="restart"/>
            <w:tcBorders>
              <w:top w:val="nil"/>
              <w:left w:val="nil"/>
              <w:bottom w:val="nil"/>
              <w:right w:val="nil"/>
            </w:tcBorders>
          </w:tcPr>
          <w:p w14:paraId="3798D154"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7CA35808" w14:textId="63EE10F3" w:rsidR="00941203" w:rsidRPr="00B13D31" w:rsidRDefault="00B13D31" w:rsidP="00957C11">
            <w:pPr>
              <w:spacing w:before="120"/>
              <w:jc w:val="both"/>
              <w:rPr>
                <w:iCs/>
                <w:color w:val="000000"/>
                <w:sz w:val="18"/>
                <w:szCs w:val="18"/>
              </w:rPr>
            </w:pPr>
            <w:r w:rsidRPr="00B13D31">
              <w:rPr>
                <w:iCs/>
                <w:color w:val="000000"/>
                <w:sz w:val="18"/>
                <w:szCs w:val="18"/>
              </w:rPr>
              <w:t xml:space="preserve">One method of reducing the spread of DF is to provide a map of DF-prone locations based on spatial analysis. The primary method of preventing the spread of </w:t>
            </w:r>
            <w:r>
              <w:rPr>
                <w:iCs/>
                <w:color w:val="000000"/>
                <w:sz w:val="18"/>
                <w:szCs w:val="18"/>
              </w:rPr>
              <w:t>dengue fever</w:t>
            </w:r>
            <w:r w:rsidRPr="00B13D31">
              <w:rPr>
                <w:iCs/>
                <w:color w:val="000000"/>
                <w:sz w:val="18"/>
                <w:szCs w:val="18"/>
              </w:rPr>
              <w:t xml:space="preserve"> </w:t>
            </w:r>
            <w:r>
              <w:rPr>
                <w:iCs/>
                <w:color w:val="000000"/>
                <w:sz w:val="18"/>
                <w:szCs w:val="18"/>
              </w:rPr>
              <w:t>(DF)</w:t>
            </w:r>
            <w:r w:rsidRPr="00B13D31">
              <w:rPr>
                <w:iCs/>
                <w:color w:val="000000"/>
                <w:sz w:val="18"/>
                <w:szCs w:val="18"/>
              </w:rPr>
              <w:t xml:space="preserve"> is to control and monitor its vector by concentrating on specific localization areas and eliminating suitable breeding environments. Spatial analysis can detect DF clusters that are larger than expected based on the underlying data.</w:t>
            </w:r>
            <w:r>
              <w:rPr>
                <w:iCs/>
                <w:color w:val="000000"/>
                <w:sz w:val="18"/>
                <w:szCs w:val="18"/>
              </w:rPr>
              <w:t xml:space="preserve"> </w:t>
            </w:r>
            <w:r w:rsidRPr="00B13D31">
              <w:rPr>
                <w:iCs/>
                <w:color w:val="000000"/>
                <w:sz w:val="18"/>
                <w:szCs w:val="18"/>
              </w:rPr>
              <w:t>The aim of this paper was to identify, and map areas</w:t>
            </w:r>
            <w:r>
              <w:rPr>
                <w:iCs/>
                <w:color w:val="000000"/>
                <w:sz w:val="18"/>
                <w:szCs w:val="18"/>
              </w:rPr>
              <w:t xml:space="preserve"> </w:t>
            </w:r>
            <w:r w:rsidRPr="00B13D31">
              <w:rPr>
                <w:iCs/>
                <w:color w:val="000000"/>
                <w:sz w:val="18"/>
                <w:szCs w:val="18"/>
              </w:rPr>
              <w:t xml:space="preserve">of </w:t>
            </w:r>
            <w:r>
              <w:rPr>
                <w:iCs/>
                <w:color w:val="000000"/>
                <w:sz w:val="18"/>
                <w:szCs w:val="18"/>
              </w:rPr>
              <w:t xml:space="preserve">DF </w:t>
            </w:r>
            <w:r w:rsidRPr="008820A7">
              <w:rPr>
                <w:iCs/>
                <w:color w:val="000000"/>
                <w:sz w:val="18"/>
                <w:szCs w:val="18"/>
              </w:rPr>
              <w:t>vulnerability</w:t>
            </w:r>
            <w:r w:rsidRPr="00B13D31">
              <w:rPr>
                <w:iCs/>
                <w:color w:val="000000"/>
                <w:sz w:val="18"/>
                <w:szCs w:val="18"/>
              </w:rPr>
              <w:t xml:space="preserve"> based on several factors within Analytic Hierarchy Process (AHP)</w:t>
            </w:r>
            <w:r>
              <w:rPr>
                <w:iCs/>
                <w:color w:val="000000"/>
                <w:sz w:val="18"/>
                <w:szCs w:val="18"/>
              </w:rPr>
              <w:t xml:space="preserve"> and </w:t>
            </w:r>
            <w:r w:rsidRPr="006537A3">
              <w:t>Geographical Information Systems (</w:t>
            </w:r>
            <w:proofErr w:type="gramStart"/>
            <w:r w:rsidRPr="006537A3">
              <w:t xml:space="preserve">GIS) </w:t>
            </w:r>
            <w:r w:rsidRPr="00B13D31">
              <w:rPr>
                <w:iCs/>
                <w:color w:val="000000"/>
                <w:sz w:val="18"/>
                <w:szCs w:val="18"/>
              </w:rPr>
              <w:t xml:space="preserve"> framework</w:t>
            </w:r>
            <w:proofErr w:type="gramEnd"/>
            <w:r w:rsidRPr="00B13D31">
              <w:rPr>
                <w:iCs/>
                <w:color w:val="000000"/>
                <w:sz w:val="18"/>
                <w:szCs w:val="18"/>
              </w:rPr>
              <w:t>.</w:t>
            </w:r>
            <w:r>
              <w:rPr>
                <w:iCs/>
                <w:color w:val="000000"/>
                <w:sz w:val="18"/>
                <w:szCs w:val="18"/>
              </w:rPr>
              <w:t xml:space="preserve"> </w:t>
            </w:r>
            <w:r w:rsidR="008820A7" w:rsidRPr="008820A7">
              <w:rPr>
                <w:iCs/>
                <w:color w:val="000000"/>
                <w:sz w:val="18"/>
                <w:szCs w:val="18"/>
              </w:rPr>
              <w:t>As a result, the AHP factor weights were evaluated and found to be acceptable as the consistency ratio of 0.0</w:t>
            </w:r>
            <w:r w:rsidR="008820A7">
              <w:rPr>
                <w:iCs/>
                <w:color w:val="000000"/>
                <w:sz w:val="18"/>
                <w:szCs w:val="18"/>
              </w:rPr>
              <w:t>79</w:t>
            </w:r>
            <w:r w:rsidR="008820A7" w:rsidRPr="008820A7">
              <w:rPr>
                <w:iCs/>
                <w:color w:val="000000"/>
                <w:sz w:val="18"/>
                <w:szCs w:val="18"/>
              </w:rPr>
              <w:t xml:space="preserve">, which was 0.1. </w:t>
            </w:r>
            <w:r>
              <w:rPr>
                <w:iCs/>
                <w:color w:val="000000"/>
                <w:sz w:val="18"/>
                <w:szCs w:val="18"/>
              </w:rPr>
              <w:t>P</w:t>
            </w:r>
            <w:proofErr w:type="spellStart"/>
            <w:r w:rsidR="008820A7" w:rsidRPr="008820A7">
              <w:rPr>
                <w:color w:val="000000"/>
                <w:sz w:val="18"/>
                <w:szCs w:val="18"/>
                <w:lang w:val="en-ID" w:eastAsia="en-ID"/>
              </w:rPr>
              <w:t>opulation</w:t>
            </w:r>
            <w:proofErr w:type="spellEnd"/>
            <w:r w:rsidR="008820A7" w:rsidRPr="008820A7">
              <w:rPr>
                <w:color w:val="000000"/>
                <w:sz w:val="18"/>
                <w:szCs w:val="18"/>
                <w:lang w:val="en-ID" w:eastAsia="en-ID"/>
              </w:rPr>
              <w:t xml:space="preserve"> density, distance to the road</w:t>
            </w:r>
            <w:r>
              <w:rPr>
                <w:color w:val="000000"/>
                <w:sz w:val="18"/>
                <w:szCs w:val="18"/>
                <w:lang w:val="en-ID" w:eastAsia="en-ID"/>
              </w:rPr>
              <w:t>,</w:t>
            </w:r>
            <w:r w:rsidR="008820A7" w:rsidRPr="008820A7">
              <w:rPr>
                <w:color w:val="000000"/>
                <w:sz w:val="18"/>
                <w:szCs w:val="18"/>
                <w:lang w:val="en-ID" w:eastAsia="en-ID"/>
              </w:rPr>
              <w:t xml:space="preserve"> radius of health facilities</w:t>
            </w:r>
            <w:r w:rsidR="008820A7" w:rsidRPr="008820A7">
              <w:rPr>
                <w:iCs/>
                <w:color w:val="000000"/>
                <w:sz w:val="18"/>
                <w:szCs w:val="18"/>
              </w:rPr>
              <w:t xml:space="preserve"> </w:t>
            </w:r>
            <w:proofErr w:type="gramStart"/>
            <w:r w:rsidR="008820A7" w:rsidRPr="008820A7">
              <w:rPr>
                <w:iCs/>
                <w:color w:val="000000"/>
                <w:sz w:val="18"/>
                <w:szCs w:val="18"/>
              </w:rPr>
              <w:t>were</w:t>
            </w:r>
            <w:proofErr w:type="gramEnd"/>
            <w:r w:rsidR="008820A7" w:rsidRPr="008820A7">
              <w:rPr>
                <w:iCs/>
                <w:color w:val="000000"/>
                <w:sz w:val="18"/>
                <w:szCs w:val="18"/>
              </w:rPr>
              <w:t xml:space="preserve"> discovered to be the most influential factors</w:t>
            </w:r>
            <w:r w:rsidR="008820A7">
              <w:rPr>
                <w:iCs/>
                <w:color w:val="000000"/>
                <w:sz w:val="18"/>
                <w:szCs w:val="18"/>
              </w:rPr>
              <w:t xml:space="preserve"> to </w:t>
            </w:r>
            <w:r>
              <w:rPr>
                <w:iCs/>
                <w:color w:val="000000"/>
                <w:sz w:val="18"/>
                <w:szCs w:val="18"/>
              </w:rPr>
              <w:t>DF</w:t>
            </w:r>
            <w:r w:rsidR="00B15716">
              <w:rPr>
                <w:iCs/>
                <w:color w:val="000000"/>
                <w:sz w:val="18"/>
                <w:szCs w:val="18"/>
              </w:rPr>
              <w:t xml:space="preserve"> </w:t>
            </w:r>
            <w:proofErr w:type="spellStart"/>
            <w:r w:rsidR="00B15716">
              <w:rPr>
                <w:iCs/>
                <w:color w:val="000000"/>
                <w:sz w:val="18"/>
                <w:szCs w:val="18"/>
              </w:rPr>
              <w:t>vulnaribility</w:t>
            </w:r>
            <w:proofErr w:type="spellEnd"/>
            <w:r w:rsidR="008820A7">
              <w:rPr>
                <w:iCs/>
                <w:color w:val="000000"/>
                <w:sz w:val="18"/>
                <w:szCs w:val="18"/>
              </w:rPr>
              <w:t xml:space="preserve">. </w:t>
            </w:r>
            <w:r w:rsidR="008820A7" w:rsidRPr="008820A7">
              <w:rPr>
                <w:iCs/>
                <w:color w:val="000000"/>
                <w:sz w:val="18"/>
                <w:szCs w:val="18"/>
              </w:rPr>
              <w:t xml:space="preserve">Gorontalo Regency is dominated by low vulnerability classes with an area of 139,493.5 </w:t>
            </w:r>
            <w:r>
              <w:rPr>
                <w:iCs/>
                <w:color w:val="000000"/>
                <w:sz w:val="18"/>
                <w:szCs w:val="18"/>
              </w:rPr>
              <w:t xml:space="preserve">ha </w:t>
            </w:r>
            <w:r w:rsidR="008820A7" w:rsidRPr="008820A7">
              <w:rPr>
                <w:iCs/>
                <w:color w:val="000000"/>
                <w:sz w:val="18"/>
                <w:szCs w:val="18"/>
              </w:rPr>
              <w:t>or 65.08% of the total area.</w:t>
            </w:r>
            <w:r>
              <w:rPr>
                <w:iCs/>
                <w:color w:val="000000"/>
                <w:sz w:val="18"/>
                <w:szCs w:val="18"/>
              </w:rPr>
              <w:t xml:space="preserve"> </w:t>
            </w:r>
            <w:r w:rsidRPr="00B13D31">
              <w:rPr>
                <w:iCs/>
                <w:color w:val="000000"/>
                <w:sz w:val="18"/>
                <w:szCs w:val="18"/>
              </w:rPr>
              <w:t>The GIS-AHP process could be used to assess transmissible D</w:t>
            </w:r>
            <w:r>
              <w:rPr>
                <w:iCs/>
                <w:color w:val="000000"/>
                <w:sz w:val="18"/>
                <w:szCs w:val="18"/>
              </w:rPr>
              <w:t>F</w:t>
            </w:r>
            <w:r w:rsidRPr="00B13D31">
              <w:rPr>
                <w:iCs/>
                <w:color w:val="000000"/>
                <w:sz w:val="18"/>
                <w:szCs w:val="18"/>
              </w:rPr>
              <w:t xml:space="preserve"> vulnerability zonation, which would aid in improving surveillance strategies for DF and other vector-borne diseases in order to encourage prevention and control actions.</w:t>
            </w:r>
          </w:p>
        </w:tc>
      </w:tr>
      <w:tr w:rsidR="00941203" w14:paraId="1DF6004E" w14:textId="77777777" w:rsidTr="00C07BEF">
        <w:trPr>
          <w:trHeight w:val="1231"/>
        </w:trPr>
        <w:tc>
          <w:tcPr>
            <w:tcW w:w="2802" w:type="dxa"/>
            <w:vMerge w:val="restart"/>
            <w:tcBorders>
              <w:top w:val="single" w:sz="4" w:space="0" w:color="auto"/>
              <w:left w:val="nil"/>
              <w:bottom w:val="single" w:sz="4" w:space="0" w:color="auto"/>
              <w:right w:val="nil"/>
            </w:tcBorders>
          </w:tcPr>
          <w:p w14:paraId="2662AA2A"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2D16CE02" w14:textId="6F99848E" w:rsidR="00941203" w:rsidRDefault="00A14174" w:rsidP="00B13D31">
            <w:r>
              <w:t>Dengue Fever</w:t>
            </w:r>
            <w:r w:rsidR="00B13D31">
              <w:t xml:space="preserve"> (DF)</w:t>
            </w:r>
          </w:p>
          <w:p w14:paraId="6F7F3498" w14:textId="45353876" w:rsidR="00B13D31" w:rsidRDefault="00B13D31" w:rsidP="00B13D31">
            <w:r w:rsidRPr="00B13D31">
              <w:rPr>
                <w:iCs/>
                <w:color w:val="000000"/>
                <w:sz w:val="18"/>
                <w:szCs w:val="18"/>
              </w:rPr>
              <w:t xml:space="preserve">Spatial </w:t>
            </w:r>
            <w:r>
              <w:rPr>
                <w:iCs/>
                <w:color w:val="000000"/>
                <w:sz w:val="18"/>
                <w:szCs w:val="18"/>
              </w:rPr>
              <w:t>A</w:t>
            </w:r>
            <w:r w:rsidRPr="00B13D31">
              <w:rPr>
                <w:iCs/>
                <w:color w:val="000000"/>
                <w:sz w:val="18"/>
                <w:szCs w:val="18"/>
              </w:rPr>
              <w:t>nalysis</w:t>
            </w:r>
          </w:p>
          <w:p w14:paraId="175AD18E" w14:textId="77777777" w:rsidR="00B13D31" w:rsidRDefault="00B13D31" w:rsidP="00B13D31">
            <w:pPr>
              <w:rPr>
                <w:iCs/>
                <w:color w:val="000000"/>
                <w:sz w:val="18"/>
                <w:szCs w:val="18"/>
              </w:rPr>
            </w:pPr>
            <w:r w:rsidRPr="00B13D31">
              <w:rPr>
                <w:iCs/>
                <w:color w:val="000000"/>
                <w:sz w:val="18"/>
                <w:szCs w:val="18"/>
              </w:rPr>
              <w:t xml:space="preserve">Analytic Hierarchy Process </w:t>
            </w:r>
            <w:r>
              <w:rPr>
                <w:iCs/>
                <w:color w:val="000000"/>
                <w:sz w:val="18"/>
                <w:szCs w:val="18"/>
              </w:rPr>
              <w:t>(AHP)</w:t>
            </w:r>
          </w:p>
          <w:p w14:paraId="4BFBBE40" w14:textId="488AFEB9" w:rsidR="00B13D31" w:rsidRDefault="00B13D31" w:rsidP="00B13D31">
            <w:r w:rsidRPr="006537A3">
              <w:t>Geographical Information Systems</w:t>
            </w:r>
            <w:r>
              <w:t xml:space="preserve"> (GIS)</w:t>
            </w:r>
          </w:p>
          <w:p w14:paraId="34B3383D" w14:textId="10273A7E" w:rsidR="00A14174" w:rsidRPr="00A14174" w:rsidRDefault="00A14174" w:rsidP="00B13D31">
            <w:proofErr w:type="spellStart"/>
            <w:r>
              <w:t>Vulnaribility</w:t>
            </w:r>
            <w:proofErr w:type="spellEnd"/>
          </w:p>
        </w:tc>
        <w:tc>
          <w:tcPr>
            <w:tcW w:w="283" w:type="dxa"/>
            <w:vMerge/>
            <w:tcBorders>
              <w:top w:val="nil"/>
              <w:left w:val="nil"/>
              <w:bottom w:val="nil"/>
              <w:right w:val="nil"/>
            </w:tcBorders>
          </w:tcPr>
          <w:p w14:paraId="5A814750" w14:textId="77777777" w:rsidR="00941203" w:rsidRDefault="00941203" w:rsidP="00957C11">
            <w:pPr>
              <w:spacing w:before="120"/>
              <w:jc w:val="both"/>
            </w:pPr>
          </w:p>
        </w:tc>
        <w:tc>
          <w:tcPr>
            <w:tcW w:w="5812" w:type="dxa"/>
            <w:vMerge/>
            <w:tcBorders>
              <w:top w:val="nil"/>
              <w:left w:val="nil"/>
              <w:bottom w:val="nil"/>
              <w:right w:val="nil"/>
            </w:tcBorders>
          </w:tcPr>
          <w:p w14:paraId="2C99A905" w14:textId="77777777" w:rsidR="00941203" w:rsidRPr="00957C11" w:rsidRDefault="00941203" w:rsidP="00957C11">
            <w:pPr>
              <w:spacing w:before="120"/>
              <w:jc w:val="both"/>
              <w:rPr>
                <w:iCs/>
                <w:color w:val="000000"/>
                <w:sz w:val="18"/>
                <w:szCs w:val="18"/>
              </w:rPr>
            </w:pPr>
          </w:p>
        </w:tc>
      </w:tr>
      <w:tr w:rsidR="00941203" w14:paraId="39CDA2B1" w14:textId="77777777" w:rsidTr="00C07BEF">
        <w:trPr>
          <w:trHeight w:val="70"/>
        </w:trPr>
        <w:tc>
          <w:tcPr>
            <w:tcW w:w="2802" w:type="dxa"/>
            <w:vMerge/>
            <w:tcBorders>
              <w:top w:val="single" w:sz="4" w:space="0" w:color="auto"/>
              <w:left w:val="nil"/>
              <w:bottom w:val="single" w:sz="4" w:space="0" w:color="auto"/>
              <w:right w:val="nil"/>
            </w:tcBorders>
          </w:tcPr>
          <w:p w14:paraId="017681DD"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3A60A060" w14:textId="77777777" w:rsidR="00941203" w:rsidRDefault="00941203" w:rsidP="00957C11">
            <w:pPr>
              <w:spacing w:before="120"/>
              <w:jc w:val="both"/>
            </w:pPr>
          </w:p>
        </w:tc>
        <w:tc>
          <w:tcPr>
            <w:tcW w:w="5812" w:type="dxa"/>
            <w:tcBorders>
              <w:top w:val="nil"/>
              <w:left w:val="nil"/>
              <w:bottom w:val="single" w:sz="4" w:space="0" w:color="auto"/>
              <w:right w:val="nil"/>
            </w:tcBorders>
          </w:tcPr>
          <w:p w14:paraId="27F55958" w14:textId="77777777" w:rsidR="00BA5488" w:rsidRDefault="00BA5488" w:rsidP="00BA5488">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0A715B71" w14:textId="77777777" w:rsidR="00941203" w:rsidRPr="00941203" w:rsidRDefault="00BA5488" w:rsidP="00BA5488">
            <w:pPr>
              <w:spacing w:before="120" w:after="120"/>
              <w:jc w:val="right"/>
              <w:rPr>
                <w:i/>
                <w:iCs/>
                <w:color w:val="000000"/>
                <w:sz w:val="18"/>
                <w:szCs w:val="18"/>
              </w:rPr>
            </w:pPr>
            <w:r>
              <w:rPr>
                <w:noProof/>
                <w:lang w:val="en-AU" w:eastAsia="en-AU"/>
              </w:rPr>
              <w:drawing>
                <wp:inline distT="0" distB="0" distL="0" distR="0" wp14:anchorId="5E2E70D7" wp14:editId="36ABC3BE">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7F286F" w14:paraId="65F8A7B4" w14:textId="77777777" w:rsidTr="00C07BEF">
        <w:tc>
          <w:tcPr>
            <w:tcW w:w="8897" w:type="dxa"/>
            <w:gridSpan w:val="3"/>
            <w:tcBorders>
              <w:top w:val="nil"/>
              <w:left w:val="nil"/>
              <w:bottom w:val="double" w:sz="4" w:space="0" w:color="auto"/>
              <w:right w:val="nil"/>
            </w:tcBorders>
          </w:tcPr>
          <w:p w14:paraId="20E73353" w14:textId="77777777" w:rsidR="007F286F" w:rsidRPr="007F286F" w:rsidRDefault="007F286F" w:rsidP="00941203">
            <w:pPr>
              <w:spacing w:before="120" w:after="120"/>
              <w:rPr>
                <w:b/>
                <w:i/>
              </w:rPr>
            </w:pPr>
            <w:r w:rsidRPr="007F286F">
              <w:rPr>
                <w:b/>
                <w:i/>
              </w:rPr>
              <w:t>Corresponding Author:</w:t>
            </w:r>
          </w:p>
          <w:p w14:paraId="60A8B484" w14:textId="08E20A5D" w:rsidR="007F286F" w:rsidRDefault="005E17F2" w:rsidP="007F286F">
            <w:proofErr w:type="spellStart"/>
            <w:r>
              <w:t>Ririn</w:t>
            </w:r>
            <w:proofErr w:type="spellEnd"/>
            <w:r>
              <w:t xml:space="preserve"> </w:t>
            </w:r>
            <w:proofErr w:type="spellStart"/>
            <w:r>
              <w:t>Pakaya</w:t>
            </w:r>
            <w:proofErr w:type="spellEnd"/>
            <w:r w:rsidR="007F286F">
              <w:t xml:space="preserve">, </w:t>
            </w:r>
          </w:p>
          <w:p w14:paraId="57C89626" w14:textId="77777777" w:rsidR="005E17F2" w:rsidRDefault="005E17F2" w:rsidP="007F286F">
            <w:r w:rsidRPr="005E17F2">
              <w:t>Department of Public Health,</w:t>
            </w:r>
          </w:p>
          <w:p w14:paraId="43222317" w14:textId="446A3C13" w:rsidR="007F286F" w:rsidRDefault="005E17F2" w:rsidP="007F286F">
            <w:r w:rsidRPr="005E17F2">
              <w:t>Universitas Gorontalo</w:t>
            </w:r>
            <w:r>
              <w:t>,</w:t>
            </w:r>
          </w:p>
          <w:p w14:paraId="60D2B382" w14:textId="598DDC27" w:rsidR="007F286F" w:rsidRDefault="005E17F2" w:rsidP="007F286F">
            <w:r w:rsidRPr="005E17F2">
              <w:rPr>
                <w:rFonts w:eastAsia="Noto Sans"/>
                <w:color w:val="000000"/>
                <w:sz w:val="18"/>
                <w:szCs w:val="18"/>
              </w:rPr>
              <w:t xml:space="preserve">Jalan </w:t>
            </w:r>
            <w:r w:rsidRPr="005E17F2">
              <w:rPr>
                <w:rFonts w:eastAsia="Noto Sans"/>
                <w:color w:val="000000"/>
                <w:sz w:val="18"/>
                <w:szCs w:val="18"/>
                <w:lang w:val="id-ID"/>
              </w:rPr>
              <w:t>A.A. Wahab No. 247, Limboto, Gorontalo</w:t>
            </w:r>
            <w:r w:rsidR="00B13D31">
              <w:rPr>
                <w:rFonts w:eastAsia="Noto Sans"/>
                <w:color w:val="000000"/>
                <w:sz w:val="18"/>
                <w:szCs w:val="18"/>
              </w:rPr>
              <w:t>, Indonesia</w:t>
            </w:r>
            <w:r w:rsidR="00941203">
              <w:t>.</w:t>
            </w:r>
          </w:p>
          <w:p w14:paraId="0E3D6FDA" w14:textId="6D91E82B" w:rsidR="00941203" w:rsidRPr="00957C11" w:rsidRDefault="00941203" w:rsidP="006B027E">
            <w:pPr>
              <w:spacing w:after="120"/>
              <w:rPr>
                <w:color w:val="000000"/>
                <w:sz w:val="18"/>
                <w:szCs w:val="18"/>
              </w:rPr>
            </w:pPr>
            <w:r>
              <w:t xml:space="preserve">Email: </w:t>
            </w:r>
            <w:r w:rsidR="005E17F2">
              <w:t>ririn.pakaya@mail.ugm.ac.id</w:t>
            </w:r>
          </w:p>
        </w:tc>
      </w:tr>
    </w:tbl>
    <w:p w14:paraId="0F46965C" w14:textId="77777777" w:rsidR="00957C11" w:rsidRDefault="00957C11" w:rsidP="00957C11">
      <w:pPr>
        <w:jc w:val="both"/>
      </w:pPr>
    </w:p>
    <w:p w14:paraId="22030577" w14:textId="77777777" w:rsidR="00C07BEF" w:rsidRPr="00957C11" w:rsidRDefault="00C07BEF" w:rsidP="00957C11">
      <w:pPr>
        <w:jc w:val="both"/>
      </w:pPr>
    </w:p>
    <w:p w14:paraId="68F568FD" w14:textId="56E3C55F"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4B9760C9" w14:textId="4E37A612" w:rsidR="005E17F2" w:rsidRDefault="005E17F2" w:rsidP="005E17F2">
      <w:pPr>
        <w:ind w:firstLine="709"/>
        <w:jc w:val="both"/>
      </w:pPr>
      <w:r w:rsidRPr="001F68E5">
        <w:t xml:space="preserve">Dengue fever </w:t>
      </w:r>
      <w:r>
        <w:t xml:space="preserve">(DF) </w:t>
      </w:r>
      <w:r w:rsidRPr="001F68E5">
        <w:t xml:space="preserve">is a mosquito-borne viral disease that has spread rapidly in all WHO regions in recent years. The </w:t>
      </w:r>
      <w:r>
        <w:t xml:space="preserve">dengue </w:t>
      </w:r>
      <w:r w:rsidRPr="001F68E5">
        <w:t>virus is spread to humans via the bites of infected female mosquitos, primarily Aedes aegypti and, to a lesser extent, Aedes albopictus.</w:t>
      </w:r>
      <w:r>
        <w:t xml:space="preserve"> </w:t>
      </w:r>
      <w:r w:rsidRPr="001F68E5">
        <w:t xml:space="preserve">These mosquitos also transmit the chikungunya, yellow fever, and Zika viruses. </w:t>
      </w:r>
      <w:r>
        <w:t>DF</w:t>
      </w:r>
      <w:r w:rsidRPr="001F68E5">
        <w:t xml:space="preserve"> is found throughout the tropics, with local variations in risk caused by factors such as rainfall, temperature, relative humidity, and unplanned rapid urbanization.</w:t>
      </w:r>
      <w:r>
        <w:t xml:space="preserve"> </w:t>
      </w:r>
    </w:p>
    <w:p w14:paraId="0968EAEC" w14:textId="698E0AF1" w:rsidR="005E17F2" w:rsidRDefault="005E17F2" w:rsidP="005E17F2">
      <w:pPr>
        <w:ind w:firstLine="709"/>
        <w:jc w:val="both"/>
      </w:pPr>
      <w:r>
        <w:t>DF</w:t>
      </w:r>
      <w:r w:rsidRPr="001F68E5">
        <w:t xml:space="preserve"> has become increasingly common in recent decades all over the world. Because the vast majority of dengue cases are asymptomatic or mild and self-managed, the true number of </w:t>
      </w:r>
      <w:r>
        <w:t>DF</w:t>
      </w:r>
      <w:r w:rsidRPr="001F68E5">
        <w:t xml:space="preserve"> is likely to be underestimated. A large number of cases are also misdiagnosed as other febrile illnesses </w:t>
      </w:r>
      <w:r>
        <w:fldChar w:fldCharType="begin" w:fldLock="1"/>
      </w:r>
      <w:r>
        <w:instrText>ADDIN CSL_CITATION {"citationItems":[{"id":"ITEM-1","itemData":{"DOI":"10.1093/cid/ciw589","ISSN":"15376591","PMID":"27578819","abstract":"BACKGROUND: Zika virus (ZIKV), chikungunya virus (CHIKV), and dengue virus (DENV) cocirculate in Nicaragua. In this study, we sought to compare the quantified viremia and clinical presentation of patients infected with 1 or more of these viruses. METHODS: Acute-phase serum samples from 346 patients with a suspected arboviral illness were tested using a multiplex real-time reverse-transcription polymerase chain reaction for ZIKV, CHIKV, and DENV. Viremia was quantitated for each detected virus, and clinical information from request forms submitted with each sample was recorded. RESULTS: A total of 263 patients tested positive for 1 or more viruses: 192 patients tested positive for a single virus (monoinfections) and 71 patients tested positive for 2 or all 3 viruses (coinfections). Quantifiable viremia was lower in ZIKV infections compared with CHIKV or DENV (mean 4.70 vs 6.42 and 5.84 log10 copies/mL serum, respectively; P &lt; .001 for both comparisons), and for each virus, mean viremia was significantly lower in coinfections than in monoinfections. Compared with patients with CHIKV or DENV, ZIKV patients were more likely to have a rash (P &lt; .001) and less likely to be febrile (P &lt; .05) or require hospitalization (P &lt; .001). Among all patients, hospitalized cases had higher viremia than those who did not require hospitalization (7.1 vs 4.1 log10 copies/mL serum, respectively; P &lt; .001). CONCLUSIONS: ZIKV, CHIKV, and DENV result in similar clinical presentations, and coinfections may be relatively common. Our findings illustrate the need for accurate, multiplex diagnostics for patient care and epidemiologic surveillance.","author":[{"dropping-particle":"","family":"Waggoner","given":"J.J.","non-dropping-particle":"","parse-names":false,"suffix":""},{"dropping-particle":"","family":"Gresh","given":"L.","non-dropping-particle":"","parse-names":false,"suffix":""},{"dropping-particle":"","family":"Vargas","given":"M.J.","non-dropping-particle":"","parse-names":false,"suffix":""},{"dropping-particle":"","family":"Ballesteros","given":"G.","non-dropping-particle":"","parse-names":false,"suffix":""},{"dropping-particle":"","family":"Tellez","given":"Y.","non-dropping-particle":"","parse-names":false,"suffix":""},{"dropping-particle":"","family":"Soda","given":"K. James","non-dropping-particle":"","parse-names":false,"suffix":""},{"dropping-particle":"","family":"Sahoo","given":"M.K.","non-dropping-particle":"","parse-names":false,"suffix":""},{"dropping-particle":"","family":"Nuñez","given":"A.","non-dropping-particle":"","parse-names":false,"suffix":""},{"dropping-particle":"","family":"Balmaseda","given":"A.","non-dropping-particle":"","parse-names":false,"suffix":""},{"dropping-particle":"","family":"Harris","given":"E.","non-dropping-particle":"","parse-names":false,"suffix":""},{"dropping-particle":"","family":"Pinsky","given":"B.A.","non-dropping-particle":"","parse-names":false,"suffix":""}],"container-title":"Clinical Infectious Diseases","id":"ITEM-1","issue":"12","issued":{"date-parts":[["2016"]]},"page":"1584-1590","title":"Viremia and Clinical Presentation in Nicaraguan Patients Infected With Zika Virus, Chikungunya Virus, and Dengue Virus","type":"article-journal","volume":"63"},"uris":["http://www.mendeley.com/documents/?uuid=aba08160-c7bb-408c-898a-9614cc4cbf09"]}],"mendeley":{"formattedCitation":"[1]","plainTextFormattedCitation":"[1]","previouslyFormattedCitation":"[1]"},"properties":{"noteIndex":0},"schema":"https://github.com/citation-style-language/schema/raw/master/csl-citation.json"}</w:instrText>
      </w:r>
      <w:r>
        <w:fldChar w:fldCharType="separate"/>
      </w:r>
      <w:r w:rsidRPr="005E17F2">
        <w:rPr>
          <w:noProof/>
        </w:rPr>
        <w:t>[1]</w:t>
      </w:r>
      <w:r>
        <w:fldChar w:fldCharType="end"/>
      </w:r>
      <w:r w:rsidRPr="001F68E5">
        <w:t>.</w:t>
      </w:r>
      <w:r>
        <w:t xml:space="preserve"> </w:t>
      </w:r>
      <w:r w:rsidRPr="001F68E5">
        <w:t xml:space="preserve">According to one modeling estimate, 390 million dengue virus infections occur each year (95 percent credible interval 284–528 </w:t>
      </w:r>
      <w:r w:rsidRPr="001F68E5">
        <w:lastRenderedPageBreak/>
        <w:t xml:space="preserve">million), with 96 million (67–136 million) presenting clinically (with any severity of disease) </w:t>
      </w:r>
      <w:r>
        <w:fldChar w:fldCharType="begin" w:fldLock="1"/>
      </w:r>
      <w:r>
        <w:instrText>ADDIN CSL_CITATION {"citationItems":[{"id":"ITEM-1","itemData":{"DOI":"10.1038/nature12060","ISSN":"0028-0836","PMID":"23563266","abstract":"Dengue is a systemic viral infection transmitted between humans by Aedes mosquitoes. For some patients, dengue is a life-threatening illness. There are currently no licensed vaccines or specific therapeutics, and substantial vector control efforts have not stopped its rapid emergence and global spread. The contemporary worldwide distribution of the risk of dengue virus infection and its public health burden are poorly known. Here we undertake an exhaustive assembly of known records of dengue occurrence worldwide, and use a formal modelling framework to map the global distribution of dengue risk. We then pair the resulting risk map with detailed longitudinal information from dengue cohort studies and population surfaces to infer the public health burden of dengue in 2010. We predict dengue to be ubiquitous throughout the tropics, with local spatial variations in risk influenced strongly by rainfall, temperature and the degree of urbanization. Using cartographic approaches, we estimate there to be 390 million (95% credible interval 284-528) dengue infections per year, of which 96 million (67-136) manifest apparently (any level of disease severity). This infection total is more than three times the dengue burden estimate of the World Health Organization. Stratification of our estimates by country allows comparison with national dengue reporting, after taking into account the probability of an apparent infection being formally reported. The most notable differences are discussed. These new risk maps and infection estimates provide novel insights into the global, regional and national public health burden imposed by dengue. We anticipate that they will provide a starting point for a wider discussion about the global impact of this disease and will help to guide improvements in disease control strategies using vaccine, drug and vector control methods, and in their economic evaluation.","author":[{"dropping-particle":"","family":"Bhatt","given":"S.","non-dropping-particle":"","parse-names":false,"suffix":""},{"dropping-particle":"","family":"Gething","given":"P.W.","non-dropping-particle":"","parse-names":false,"suffix":""},{"dropping-particle":"","family":"Brady","given":"O.J.","non-dropping-particle":"","parse-names":false,"suffix":""},{"dropping-particle":"","family":"Messina","given":"J.P.","non-dropping-particle":"","parse-names":false,"suffix":""},{"dropping-particle":"","family":"Farlow","given":"A.W.","non-dropping-particle":"","parse-names":false,"suffix":""},{"dropping-particle":"","family":"Moyes","given":"C.L.","non-dropping-particle":"","parse-names":false,"suffix":""},{"dropping-particle":"","family":"Drake","given":"J.M.","non-dropping-particle":"","parse-names":false,"suffix":""},{"dropping-particle":"","family":"Brownstein","given":"J.S.","non-dropping-particle":"","parse-names":false,"suffix":""},{"dropping-particle":"","family":"Hoen","given":"A.G.","non-dropping-particle":"","parse-names":false,"suffix":""},{"dropping-particle":"","family":"Sankoh","given":"O.","non-dropping-particle":"","parse-names":false,"suffix":""},{"dropping-particle":"","family":"Myers","given":"M. F.","non-dropping-particle":"","parse-names":false,"suffix":""},{"dropping-particle":"","family":"George","given":"D.B.","non-dropping-particle":"","parse-names":false,"suffix":""},{"dropping-particle":"","family":"Jaenisch","given":"T.","non-dropping-particle":"","parse-names":false,"suffix":""},{"dropping-particle":"","family":"Wint","given":"G.R.","non-dropping-particle":"","parse-names":false,"suffix":""},{"dropping-particle":"","family":"Simmons","given":"C.P.","non-dropping-particle":"","parse-names":false,"suffix":""},{"dropping-particle":"","family":"Scott","given":"T.W.","non-dropping-particle":"","parse-names":false,"suffix":""},{"dropping-particle":"","family":"Farrar","given":"J.J.","non-dropping-particle":"","parse-names":false,"suffix":""},{"dropping-particle":"","family":"Simon","given":"I.H.","non-dropping-particle":"","parse-names":false,"suffix":""}],"container-title":"Nature","id":"ITEM-1","issue":"7446","issued":{"date-parts":[["2013"]]},"page":"504-507","title":"The global distribution and burden of dengue","type":"article-journal","volume":"496"},"uris":["http://www.mendeley.com/documents/?uuid=e9bed3c2-1b0b-4c01-a2c9-da9ca44d6610"]}],"mendeley":{"formattedCitation":"[2]","plainTextFormattedCitation":"[2]","previouslyFormattedCitation":"[2]"},"properties":{"noteIndex":0},"schema":"https://github.com/citation-style-language/schema/raw/master/csl-citation.json"}</w:instrText>
      </w:r>
      <w:r>
        <w:fldChar w:fldCharType="separate"/>
      </w:r>
      <w:r w:rsidRPr="005E17F2">
        <w:rPr>
          <w:noProof/>
        </w:rPr>
        <w:t>[2]</w:t>
      </w:r>
      <w:r>
        <w:fldChar w:fldCharType="end"/>
      </w:r>
      <w:r w:rsidRPr="001F68E5">
        <w:t>. According to another study on the prevalence of dengue, 3.9 billion people are at risk of infection with dengue viruses.</w:t>
      </w:r>
      <w:r>
        <w:t xml:space="preserve"> </w:t>
      </w:r>
      <w:r w:rsidRPr="001F68E5">
        <w:t xml:space="preserve">Despite the fact that there is a risk of infection in 129 countries </w:t>
      </w:r>
      <w:r>
        <w:fldChar w:fldCharType="begin" w:fldLock="1"/>
      </w:r>
      <w:r>
        <w:instrText>ADDIN CSL_CITATION {"citationItems":[{"id":"ITEM-1","itemData":{"DOI":"10.1371/journal.pntd.0001760","ISSN":"19352735","PMID":"22880140","abstract":"Background: Dengue is a growing problem both in its geographical spread and in its intensity, and yet current global distribution remains highly uncertain. Challenges in diagnosis and diagnostic methods as well as highly variable national health systems mean no single data source can reliably estimate the distribution of this disease. As such, there is a lack of agreement on national dengue status among international health organisations. Here we bring together all available information on dengue occurrence using a novel approach to produce an evidence consensus map of the disease range that highlights nations with an uncertain dengue status. Methods/Principal Findings: A baseline methodology was used to assess a range of evidence for each country. In regions where dengue status was uncertain, additional evidence types were included to either clarify dengue status or confirm that it is unknown at this time. An algorithm was developed that assesses evidence quality and consistency, giving each country an evidence consensus score. Using this approach, we were able to generate a contemporary global map of national-level dengue status that assigns a relative measure of certainty and identifies gaps in the available evidence. Conclusion: The map produced here provides a list of 128 countries for which there is good evidence of dengue occurrence, including 36 countries that have previously been classified as dengue-free by the World Health Organization and/or the US Centers for Disease Control. It also identifies disease surveillance needs, which we list in full. The disease extents and limits determined here using evidence consensus, marks the beginning of a five-year study to advance the mapping of dengue virus transmission and disease risk. Completion of this first step has allowed us to produce a preliminary estimate of population at risk with an upper bound of 3.97 billion people. This figure will be refined in future work. © 2012 Brady et al.","author":[{"dropping-particle":"","family":"Brady","given":"O.J.","non-dropping-particle":"","parse-names":false,"suffix":""},{"dropping-particle":"","family":"Gething","given":"P.W.","non-dropping-particle":"","parse-names":false,"suffix":""},{"dropping-particle":"","family":"Bhatt","given":"S.","non-dropping-particle":"","parse-names":false,"suffix":""},{"dropping-particle":"","family":"Messina","given":"J.P.","non-dropping-particle":"","parse-names":false,"suffix":""},{"dropping-particle":"","family":"Brownstein","given":"J.S.","non-dropping-particle":"","parse-names":false,"suffix":""},{"dropping-particle":"","family":"Hoen","given":"A.G.","non-dropping-particle":"","parse-names":false,"suffix":""},{"dropping-particle":"","family":"Moyes","given":"C.L.","non-dropping-particle":"","parse-names":false,"suffix":""},{"dropping-particle":"","family":"Farlow","given":"A.W.","non-dropping-particle":"","parse-names":false,"suffix":""},{"dropping-particle":"","family":"Scott","given":"T.W.","non-dropping-particle":"","parse-names":false,"suffix":""},{"dropping-particle":"","family":"Hay","given":"Si.I.","non-dropping-particle":"","parse-names":false,"suffix":""}],"container-title":"PLoS Neglected Tropical Diseases","id":"ITEM-1","issue":"8","issued":{"date-parts":[["2012"]]},"page":"1-15","title":"Refining the Global Spatial Limits of Dengue Virus Transmission by Evidence-Based Consensus","type":"article-journal","volume":"6"},"uris":["http://www.mendeley.com/documents/?uuid=6e83f695-3983-4d2b-87f2-cd458f8da5c4"]}],"mendeley":{"formattedCitation":"[3]","plainTextFormattedCitation":"[3]","previouslyFormattedCitation":"[3]"},"properties":{"noteIndex":0},"schema":"https://github.com/citation-style-language/schema/raw/master/csl-citation.json"}</w:instrText>
      </w:r>
      <w:r>
        <w:fldChar w:fldCharType="separate"/>
      </w:r>
      <w:r w:rsidRPr="005E17F2">
        <w:rPr>
          <w:noProof/>
        </w:rPr>
        <w:t>[3]</w:t>
      </w:r>
      <w:r>
        <w:fldChar w:fldCharType="end"/>
      </w:r>
      <w:r w:rsidRPr="001F68E5">
        <w:t xml:space="preserve"> Asia bears 70% of the actual burden </w:t>
      </w:r>
      <w:r>
        <w:fldChar w:fldCharType="begin" w:fldLock="1"/>
      </w:r>
      <w:r>
        <w:instrText>ADDIN CSL_CITATION {"citationItems":[{"id":"ITEM-1","itemData":{"DOI":"10.1038/nature12060","ISSN":"0028-0836","PMID":"23563266","abstract":"Dengue is a systemic viral infection transmitted between humans by Aedes mosquitoes. For some patients, dengue is a life-threatening illness. There are currently no licensed vaccines or specific therapeutics, and substantial vector control efforts have not stopped its rapid emergence and global spread. The contemporary worldwide distribution of the risk of dengue virus infection and its public health burden are poorly known. Here we undertake an exhaustive assembly of known records of dengue occurrence worldwide, and use a formal modelling framework to map the global distribution of dengue risk. We then pair the resulting risk map with detailed longitudinal information from dengue cohort studies and population surfaces to infer the public health burden of dengue in 2010. We predict dengue to be ubiquitous throughout the tropics, with local spatial variations in risk influenced strongly by rainfall, temperature and the degree of urbanization. Using cartographic approaches, we estimate there to be 390 million (95% credible interval 284-528) dengue infections per year, of which 96 million (67-136) manifest apparently (any level of disease severity). This infection total is more than three times the dengue burden estimate of the World Health Organization. Stratification of our estimates by country allows comparison with national dengue reporting, after taking into account the probability of an apparent infection being formally reported. The most notable differences are discussed. These new risk maps and infection estimates provide novel insights into the global, regional and national public health burden imposed by dengue. We anticipate that they will provide a starting point for a wider discussion about the global impact of this disease and will help to guide improvements in disease control strategies using vaccine, drug and vector control methods, and in their economic evaluation.","author":[{"dropping-particle":"","family":"Bhatt","given":"S.","non-dropping-particle":"","parse-names":false,"suffix":""},{"dropping-particle":"","family":"Gething","given":"P.W.","non-dropping-particle":"","parse-names":false,"suffix":""},{"dropping-particle":"","family":"Brady","given":"O.J.","non-dropping-particle":"","parse-names":false,"suffix":""},{"dropping-particle":"","family":"Messina","given":"J.P.","non-dropping-particle":"","parse-names":false,"suffix":""},{"dropping-particle":"","family":"Farlow","given":"A.W.","non-dropping-particle":"","parse-names":false,"suffix":""},{"dropping-particle":"","family":"Moyes","given":"C.L.","non-dropping-particle":"","parse-names":false,"suffix":""},{"dropping-particle":"","family":"Drake","given":"J.M.","non-dropping-particle":"","parse-names":false,"suffix":""},{"dropping-particle":"","family":"Brownstein","given":"J.S.","non-dropping-particle":"","parse-names":false,"suffix":""},{"dropping-particle":"","family":"Hoen","given":"A.G.","non-dropping-particle":"","parse-names":false,"suffix":""},{"dropping-particle":"","family":"Sankoh","given":"O.","non-dropping-particle":"","parse-names":false,"suffix":""},{"dropping-particle":"","family":"Myers","given":"M. F.","non-dropping-particle":"","parse-names":false,"suffix":""},{"dropping-particle":"","family":"George","given":"D.B.","non-dropping-particle":"","parse-names":false,"suffix":""},{"dropping-particle":"","family":"Jaenisch","given":"T.","non-dropping-particle":"","parse-names":false,"suffix":""},{"dropping-particle":"","family":"Wint","given":"G.R.","non-dropping-particle":"","parse-names":false,"suffix":""},{"dropping-particle":"","family":"Simmons","given":"C.P.","non-dropping-particle":"","parse-names":false,"suffix":""},{"dropping-particle":"","family":"Scott","given":"T.W.","non-dropping-particle":"","parse-names":false,"suffix":""},{"dropping-particle":"","family":"Farrar","given":"J.J.","non-dropping-particle":"","parse-names":false,"suffix":""},{"dropping-particle":"","family":"Simon","given":"I.H.","non-dropping-particle":"","parse-names":false,"suffix":""}],"container-title":"Nature","id":"ITEM-1","issue":"7446","issued":{"date-parts":[["2013"]]},"page":"504-507","title":"The global distribution and burden of dengue","type":"article-journal","volume":"496"},"uris":["http://www.mendeley.com/documents/?uuid=e9bed3c2-1b0b-4c01-a2c9-da9ca44d6610"]}],"mendeley":{"formattedCitation":"[2]","plainTextFormattedCitation":"[2]","previouslyFormattedCitation":"[2]"},"properties":{"noteIndex":0},"schema":"https://github.com/citation-style-language/schema/raw/master/csl-citation.json"}</w:instrText>
      </w:r>
      <w:r>
        <w:fldChar w:fldCharType="separate"/>
      </w:r>
      <w:r w:rsidRPr="005E17F2">
        <w:rPr>
          <w:noProof/>
        </w:rPr>
        <w:t>[2]</w:t>
      </w:r>
      <w:r>
        <w:fldChar w:fldCharType="end"/>
      </w:r>
      <w:r w:rsidRPr="001F68E5">
        <w:t>.</w:t>
      </w:r>
      <w:r>
        <w:t xml:space="preserve"> </w:t>
      </w:r>
      <w:r w:rsidRPr="001F68E5">
        <w:t xml:space="preserve">Over the last two decades, the number of </w:t>
      </w:r>
      <w:r>
        <w:t xml:space="preserve">DF </w:t>
      </w:r>
      <w:r w:rsidRPr="001F68E5">
        <w:t>reported to WHO has increased more than eightfold, from 505,430 cases in 2000 to over 2.4 million in 2010, and 5.2 million in 2019. Between 2000 and 2015, the number of reported deaths increased from 960 to 4032.</w:t>
      </w:r>
      <w:r>
        <w:t xml:space="preserve"> </w:t>
      </w:r>
      <w:r w:rsidRPr="001F68E5">
        <w:t>Dengue fever struck several countries in 2020, with an increase in cases in Bangladesh, Brazil, Cook Islands, Ecuador, India, Indonesia, Maldives, Mauritania, Mayotte (Fr), Nepal, Singapore, Sri Lanka, Sudan, Thailand, Timor-Leste, and Yemen. Dengue fever continues to afflict Brazil, the Cook Islands, Colombia, Fiji, Kenya, Paraguay, Peru, and Reunion Island in 2021.</w:t>
      </w:r>
    </w:p>
    <w:p w14:paraId="1909026E" w14:textId="7E32780A" w:rsidR="005E17F2" w:rsidRDefault="005E17F2" w:rsidP="005E17F2">
      <w:pPr>
        <w:ind w:firstLine="720"/>
        <w:jc w:val="both"/>
      </w:pPr>
      <w:r w:rsidRPr="006537A3">
        <w:t>The use of spatial analysis in geographical information systems (GIS) for health purposes is quickly becoming one of the most important techniques for identifying spatial associations, and it is being adopted by a growing number of researchers worldwide</w:t>
      </w:r>
      <w:r>
        <w:t xml:space="preserve"> </w:t>
      </w:r>
      <w:r>
        <w:fldChar w:fldCharType="begin" w:fldLock="1"/>
      </w:r>
      <w:r>
        <w:instrText>ADDIN CSL_CITATION {"citationItems":[{"id":"ITEM-1","itemData":{"DOI":"10.3390/ijgi7070254","ISSN":"22209964","abstract":"The main objective of this paper is to use Geographical Information Systems (GIS) for identifying spatial accessibility to health centers in Jeddah City, Saudi Arabia based on the drive-time analysis technique. A geo-database was created that includes the location of health centers, population distribution, and road networks. ArcGIS Network Analyst and overlay analyses were selected as the analysis tools for this paper. The results of the paper indicate that health centers that are located in the northern districts of Jeddah City have fewer registered patients. There are several areas of Jeddah City that have low accessibility to health centers because they fall outside the 30 min drive-time service area. These are located mainly in western, central, and northern city districts. Local health planners in Jeddah City can use the created application to allocate additional health centers in these less-served districts.","author":[{"dropping-particle":"","family":"Murad","given":"A.","non-dropping-particle":"","parse-names":false,"suffix":""}],"container-title":"nternational Journal of Geo-Information","id":"ITEM-1","issue":"7","issued":{"date-parts":[["2018"]]},"title":"Using GIS for determining variations in health access in jeddah city, Saudi Arabia","type":"article-journal","volume":"7"},"uris":["http://www.mendeley.com/documents/?uuid=55ebccf2-fbad-4241-8e62-ed8194661308"]},{"id":"ITEM-2","itemData":{"DOI":"10.1155/2018/8436210","ISSN":"1875905X","abstract":"This paper aimed at improving the lack of GIS information use and compatibility of multiplatform which represented limits that existing malaria risk analysis tools had. For this, the author developed mobile web-based malaria vulnerability map system using GIS information. This system consists of system database construction, malaria risk calculation function, visual expression function, and website and mobile application. This system was developed based on Incheon region only. Database includes information on air temperature and amount of precipitation as well. With regard to malaria risk calculation, guideline provided by Korea Centers for Disease Control and Prevention was followed first and then decision-making technique was used. Calculating criteria value for risk index made it possible to estimate more precise risk. With regard to visual expression function, database constructed earlier and risk information were linked to print out graphic map and graphs so that more intuitive and visible expression can be provided based on animation technique. This system allows a user to check information in real time and can be used anywhere anyplace. Mobile push function is to enhance user's convenience. Such web map is useful to general users as well as experts.","author":[{"dropping-particle":"","family":"Kim","given":"J.Y.","non-dropping-particle":"","parse-names":false,"suffix":""},{"dropping-particle":"","family":"Eun","given":"S.J.","non-dropping-particle":"","parse-names":false,"suffix":""},{"dropping-particle":"","family":"Park","given":"D.K.","non-dropping-particle":"","parse-names":false,"suffix":""}],"container-title":"Mobile Information Systems","id":"ITEM-2","issued":{"date-parts":[["2018"]]},"page":"1-10","title":"Malaria Vulnerability Map Mobile System Development Using GIS-Based Decision-Making Technique","type":"article-journal"},"uris":["http://www.mendeley.com/documents/?uuid=61f0560e-dcc0-47db-894f-a6a53bad39c3"]},{"id":"ITEM-3","itemData":{"DOI":"10.1016/j.scitotenv.2020.140033","ISSN":"18791026","PMID":"32534320","abstract":"This study entailed a review of 63 scientific articles on geospatial and spatial-statistical analysis of the geographical dimension of the 2019 coronavirus disease (COVID-19) pandemic. The diversity of themes identified in this paper can be grouped into the following categories of disease mapping: spatiotemporal analysis, health and social geography, environmental variables, data mining, and web-based mapping. Understanding the spatiotemporal dynamics of COVID-19 is essential for its mitigation, as it helps to clarify the extent and impact of the pandemic and can aid decision making, planning and community action. Health geography highlights the interaction of public health officials, affected actors and first responders to improve estimations of disease propagation and likelihoods of new outbreaks. Attempts at interdisciplinary correlation examine health policy interventions for the siting of health/sanitary services and controls, mapping/tracking of human movement, formulation of appropriate scientific and political responses and projection of spatial diffusion and temporal trends. This review concludes that, to fight COVID-19, it is important to face the challenges from an interdisciplinary perspective, with proactive planning, international solidarity and a global perspective. This review provides useful information and insight that can support future bibliographic queries, and also serves as a resource for understanding the evolution of tools used in the management of this major global pandemic of the 21 Century. It is hoped that its findings will inspire new reflections on the COVID-19 pandemic by readers.","author":[{"dropping-particle":"","family":"Ivan","given":"F.P.","non-dropping-particle":"","parse-names":false,"suffix":""},{"dropping-particle":"","family":"Napoletano","given":"B.M.","non-dropping-particle":"","parse-names":false,"suffix":""},{"dropping-particle":"","family":"Rosete-Verges","given":"F.","non-dropping-particle":"","parse-names":false,"suffix":""},{"dropping-particle":"","family":"Billa","given":"L.","non-dropping-particle":"","parse-names":false,"suffix":""}],"container-title":"Science of the Total Environment","id":"ITEM-3","issued":{"date-parts":[["2020"]]},"page":"1-10","publisher":"The Authors","title":"Spatial analysis and GIS in the study of COVID-19. A review","type":"article-journal","volume":"739"},"uris":["http://www.mendeley.com/documents/?uuid=b49aa58a-2c54-409d-8cf4-da99ee2c059f"]},{"id":"ITEM-4","itemData":{"DOI":"10.1007/s41324-018-0187-x","ISSN":"23663294","abstract":"Detecting and mapping of Dengue risk areas is a complex, tiring, multifaceted and protracted task requiring evaluation of many criteria. It is not sure that always one single factor is liable for Dengue Fever transmission in all areas, but it differs with changing geographical location. This paper presents the application of analytic hierarchy process alongside with geospatial analysis for detecting Dengue risk areas in Kolkata Municipal Corporation by integrating environmental parameters. It employs two stage analyses synergistically to form a Spatial Decision Support System. The first stage analysis makes use of the thematic layers in Geographical Information System in combination with environmental factors leading to support the second stage analysis using the analytic hierarchy process as a tool. Moreover, weighted overlay analysis was used for detecting potential risk areas. The research result shows that the calculated weights of criteria are within the range of Consistency Ratio being &gt; 0.1. The chosen decision criteria are consistent because the calculated Consistency Ratio is 0.0551 which is &lt; 0.1 and considered as acceptable for decision making. The most influential factors are found the Household Density, Water Logged Areas, Land Surface Temperature, Population Density, Land Elevation and Land Use Land Cover. The present study shows that the spatial relationship can help in understanding the pattern and distribution of dengue outbreak and zonation of potential risk areas.","author":[{"dropping-particle":"","family":"Ali","given":"S.A.","non-dropping-particle":"","parse-names":false,"suffix":""},{"dropping-particle":"","family":"Ahmad","given":"A.","non-dropping-particle":"","parse-names":false,"suffix":""}],"container-title":"Spatial Information Research","id":"ITEM-4","issue":"4","issued":{"date-parts":[["2018"]]},"page":"449-469","publisher":"Springer Singapore","title":"Using analytic hierarchy process with GIS for Dengue risk mapping in Kolkata Municipal Corporation, West Bengal, India","type":"article-journal","volume":"26"},"uris":["http://www.mendeley.com/documents/?uuid=3fee3cc4-0e75-4d4f-b967-3ea1e83f73c7"]},{"id":"ITEM-5","itemData":{"DOI":"10.20884/1.iphj.2020.1.1.3012","abstract":"Background: Dengue is a viral infection transmitted by mosquitoes that continue to be a significant health challenge in many tropical and subtropical countries. So far, Geographic Information System (GIS) in the health sector contributed to disease prevention, especially for visualization of the disease case. GIS is one of the important tools in spatial epidemiology to assist identification and spatial analysis of the target disease intervention. This article summarizes the use of GIS to assess risk factors for DHF, and how efficient the use of GIS in facilitating the improvement of disease surveillance systems for the prevention and control of diseases. Methods: This paper was developed using a descriptive approach, conducted in September and December 2019. The primary data used in this research were from ScienceDirect databased by collecting some studies that assess the risk of dengue using GIS applications. Results: The results of reviews of research in several countries which use GIS applications in assessing the risk of dengue incidence, ie, in Swat, Pakistan evaluated the impact of the slope, population density, and the distance to the river through GIS applications. Then in Seremban and Putrajaya, Malaysia implemented a participatory approach to identify the spatial risk of dengue in the community. Research in Lahore, Pakistan, analyzed the risk of dengue. Study in Colombia conducted GWR to evaluate the association between socioeconomic factors and the environment with dengue fever incidence. Recently, research in Taiwan integrated GIS to detect the correlation between population density and the possibility of human contact with mosquitoes. Conclusions: Based on the results of the review, it can be drawn that asses the dengue risk with GIS applications is highly relevant because it can determine the factors which affect the incidence of dengue. Besides, it can determine the spatial correlation between risk factors and the incidence of dengue, as well as to evaluate the impact of the dengue occurrence.","author":[{"dropping-particle":"","family":"Zannah","given":"R.","non-dropping-particle":"","parse-names":false,"suffix":""},{"dropping-particle":"","family":"Sulistyawati","given":"S.","non-dropping-particle":"","parse-names":false,"suffix":""},{"dropping-particle":"","family":"Dewi","given":"I.F.","non-dropping-particle":"","parse-names":false,"suffix":""}],"container-title":"Insights in Public Health Journal","id":"ITEM-5","issue":"1","issued":{"date-parts":[["2020"]]},"page":"36","title":"Measuring the dengue risk area using Geographic Information System: a review","type":"article-journal","volume":"1"},"uris":["http://www.mendeley.com/documents/?uuid=8187182c-6073-4115-9916-eebca0d6b549"]},{"id":"ITEM-6","itemData":{"abstract":"Dengue Hemorrhagic Fever (DHF) was a disease caused by dengue virus. DHF transmitted by mosquito bites from Aedes genus, mainly Aedes aegypti and Aedes albopictus. DHF was emerging over the year and attacking all of age groups. It was related to the environmental condition and community behavior. Until now, the Incidence Rate (IR) of DHF from 1968 was increased. Mortality caused by DHF was categorized as high if CFR more than 2%. Therefore, there were 5 provinces that categorized on high CFR in 2014 such as Bengkulu, Bangka Belitung Archipelago, South Borneo, Gorontalo and Maluku. Gorontalo Province consisted of 5 regencies and Gorontalo Regencies increased dengue cases significantly, especially Limboto District i.e., 35 cases in 2012, 49 cases in 2013, 34 cases in 2014, and 40 cases by 2015 by 8 endemic counties. Objective of this study was to understand spatial distribution of DHF cases and analysis environment factor against cases of DHF in Limboto District. The method of study was observational used cross sectional study design supported by Geographic Information System (GIS) for spatial information. Main result by Poisson‟s regression test showed that the environmental variables for instance precipitation, temperature, humidity, and wind speed with DHF occurrence. Correlation analysis of environmental variables to DHF cases showed that only the humidity in the previous two months (lag2) (P = 0.01) had a significant but negative correlation with DHF cases","author":[{"dropping-particle":"","family":"Pakaya","given":"R.","non-dropping-particle":"","parse-names":false,"suffix":""}],"container-title":"Gorontalo University","id":"ITEM-6","issued":{"date-parts":[["2017"]]},"page":"45-55","title":"Spatial Analysis and Environmental Factors Associated Against Case of Dengue Hemorrhagic Fever ( Dhf ) in Limboto District , Gorontalo","type":"paper-conference"},"uris":["http://www.mendeley.com/documents/?uuid=76b4f636-90b1-4a72-8c12-84f73901006d"]},{"id":"ITEM-7","itemData":{"DOI":"10.1007/s12524-020-01140-5","ISBN":"1252402001140","ISSN":"09743006","abstract":"This paper discusses on the increasing relevancy of geospatial technologies such as geographic information system (GIS) in the public health domain, particularly for the infectious disease surveillance and modelling strategies. Traditionally, the disease mapping tasks have faced many challenges—(1) authors rarely documented the evidence that were used to create map, (2) before evolution of GIS, many errors aroused in mapping tasks which were expanded extremely at global scales, and (3) there were no fidelity assessment of maps which resulted in inaccurate precision. This study on infectious diseases geo-surveillance is divided into four broad sections with emphasis on handling geographical and temporal issues to help in public health decision-making and planning policies: (1) geospatial mapping of diseases using its spatial and temporal information to understand their behaviour across geography; (2) the citizen’s involvement as volunteers in giving health and disease data to assess the critical situation for disease’s spread and prevention in neighbourhood effect; (3) scientific analysis of health-related behaviour using mathematical epidemiological and geo-statistical approaches with (4) capacity building program. To illustrate each theme, recent case studies are cited and case studies are performed on COVID-19 to demonstrate selected models.","author":[{"dropping-particle":"","family":"Saran","given":"S.","non-dropping-particle":"","parse-names":false,"suffix":""},{"dropping-particle":"","family":"Singh","given":"P.","non-dropping-particle":"","parse-names":false,"suffix":""},{"dropping-particle":"","family":"Kumar","given":"V.","non-dropping-particle":"","parse-names":false,"suffix":""},{"dropping-particle":"","family":"Chauhan","given":"P.","non-dropping-particle":"","parse-names":false,"suffix":""}],"container-title":"Journal of the Indian Society of Remote Sensing","id":"ITEM-7","issue":"8","issued":{"date-parts":[["2020"]]},"page":"1121-1138","publisher":"Springer India","title":"Review of Geospatial Technology for Infectious Disease Surveillance: Use Case on COVID-19","type":"article-journal","volume":"48"},"uris":["http://www.mendeley.com/documents/?uuid=8acec9c5-51d7-434a-949c-40eb9cf31674"]},{"id":"ITEM-8","itemData":{"DOI":"10.11591/ijphs.v10i2.20713","ISSN":"26204126","abstract":"Dengue hemorrhagic fever (DHF) is a public health problem in the world and also in Indonesia. One of the districts in Central Java that is still having problems with this disease is Banyumas, Indonesia. The incidence rate (IR) data in 2018 was 2.75 per 100,000 populations and the case fatality rate (CFR) was 3.64%. Spatiotemporal analysis was used to determine local variation, geographic determination of risk zones, and measurement of disease control interventions. Therefore, this study aimed to determine the distribution and grouping of dengue cases based on the spatiotemporal analysis. The design was observational with a cross-sectional spatial analysis. This study was conducted in Banyumas, Indonesia with the analysis unit for dengue fever patients in 2018 using as many as 57 cases. Furthermore, the data analysis used includes overlay, buffering, and clustering with SaTScan and ArcGis software. The results showed that there was a clustering of dengue cases in Banyumas, with one primary and three secondary clusters detected. The primary cluster occurred in March-April 2018, involving four sub-districts in urban areas. It was then concluded that the significantly identified clusters indicate a transmission of dengue fever in the Banyumas area with a radius of three kilometers.","author":[{"dropping-particle":"","family":"Rejeki","given":"D.S.S.","non-dropping-particle":"","parse-names":false,"suffix":""},{"dropping-particle":"","family":"Nurhayati","given":"N.","non-dropping-particle":"","parse-names":false,"suffix":""},{"dropping-particle":"","family":"Aji","given":"B.","non-dropping-particle":"","parse-names":false,"suffix":""}],"container-title":"International Journal of Public Health Science","id":"ITEM-8","issue":"2","issued":{"date-parts":[["2021"]]},"page":"231-240","title":"A spatiotemporal analysis of dengue hemorrhagic fever in Banyumas, Indonesia","type":"article-journal","volume":"10"},"uris":["http://www.mendeley.com/documents/?uuid=6ed8a84a-6849-43dc-8575-ab8b19018d7d"]},{"id":"ITEM-9","itemData":{"DOI":"10.5194/isprsarchives-XL-8-171-2014","ISSN":"16821750","abstract":"Malaria epidemic is one of the complex spatial problems around the world. According to WHO, an estimated 6, 27, 000 deaths occurred due to malaria in 2012. In many developing nations with diverse ecological regions, it is still a large cause of human mortality. Owing to the incompleteness of epidemiological data and their spatial origin, the quantification of disease incidence burdening basic public health planning is a major constrain especially in developing countries. The present study focuses on the integrated Geospatial and Multi-Criteria Evaluation (AHP) technique to determine malaria risk zones. The study is conducted in Vadodara district, including 12 Taluka among which 4 Taluka are predominantly tribal. The influence of climatic and physical environmental factors viz., rainfall, hydro geomorphology; drainage, elevation, and land cover are used to score their share in the evaluation of malariogenic condition. This was synthesized on the basis of preference over each factor and the total weights of each data and data layer were computed and visualized. The district was divided into three viz., high, moderate and low risk zones .It was observed that a geographical area of 1885.2sq.km comprising 30.3% fall in high risk zone. The risk zones identified on the basis of these parameters and assigned weights shows a close resemblance with ground condition. As the API distribution for 2011overlaid corresponds to the risk zones identified. The study demonstrates the significance and prospect of integrating Geospatial tools and Analytical Hierarchy Process for malaria risk zones and dynamics of malaria transmission.","author":[{"dropping-particle":"","family":"Bhatt","given":"B.","non-dropping-particle":"","parse-names":false,"suffix":""},{"dropping-particle":"","family":"Joshi","given":"J.P.","non-dropping-particle":"","parse-names":false,"suffix":""}],"container-title":"International Archives of the Photogrammetry, Remote Sensing and Spatial Information Sciences - ISPRS Archives","id":"ITEM-9","issue":"1","issued":{"date-parts":[["2014"]]},"page":"171-176","title":"Analytical hierarchy process modeling for malaria risk zones in vadodara district, Gujarat","type":"article-journal","volume":"XL-8"},"uris":["http://www.mendeley.com/documents/?uuid=bc197fab-3e74-4d0a-839a-5eac7d8bb2f2"]}],"mendeley":{"formattedCitation":"[4]–[12]","plainTextFormattedCitation":"[4]–[12]","previouslyFormattedCitation":"[4]–[12]"},"properties":{"noteIndex":0},"schema":"https://github.com/citation-style-language/schema/raw/master/csl-citation.json"}</w:instrText>
      </w:r>
      <w:r>
        <w:fldChar w:fldCharType="separate"/>
      </w:r>
      <w:r w:rsidRPr="005E17F2">
        <w:rPr>
          <w:noProof/>
        </w:rPr>
        <w:t>[4]–[12]</w:t>
      </w:r>
      <w:r>
        <w:fldChar w:fldCharType="end"/>
      </w:r>
      <w:r w:rsidRPr="006537A3">
        <w:t xml:space="preserve">. </w:t>
      </w:r>
      <w:r w:rsidRPr="000769D7">
        <w:t xml:space="preserve">One way to reduce the spread of </w:t>
      </w:r>
      <w:r>
        <w:t>DF</w:t>
      </w:r>
      <w:r w:rsidRPr="000769D7">
        <w:t xml:space="preserve"> is to provide a map of locations that are prone to </w:t>
      </w:r>
      <w:r>
        <w:t>DF by spatial analysis</w:t>
      </w:r>
      <w:r w:rsidRPr="000769D7">
        <w:t>.</w:t>
      </w:r>
      <w:r>
        <w:t xml:space="preserve"> </w:t>
      </w:r>
      <w:r w:rsidRPr="000769D7">
        <w:t>The primary method of preventing the spread of DF is to control and monitor its vector by focusing on specific localization areas and destroying suitable breeding environments</w:t>
      </w:r>
      <w:r>
        <w:t xml:space="preserve"> </w:t>
      </w:r>
      <w:r>
        <w:fldChar w:fldCharType="begin" w:fldLock="1"/>
      </w:r>
      <w:r>
        <w:instrText>ADDIN CSL_CITATION {"citationItems":[{"id":"ITEM-1","itemData":{"ISBN":"2222-1808","abstract":"Objective: To highlight the use of analytical hierarchy process (AHP) in geographical information system that incorporates environmental indices to generate dengue risk zonation area. Methods: The medical database considered for the study was referenced to the environmental data layers. Factors related to the risk of dengue fever (DF) were selected throughout previous research and were arranged in a hierarchical structure. The relative weights of factors were calculated, which were within acceptable range with the consistency ratio being less than 0.1. The outcomes from AHP based DF risk zonation area produced useful information on different levels of risks. Results: As a result, factor weights used in AHP were evaluated and found to be acceptable as the consistency ratio of 0.05, which was &lt;0.1. The most influential factors were found to be housing types, population density, land-use and elevation. Findings from this study provided valuable insights that could potentially enhance public health initiatives. The geographical information system and spatial analytical method could be applied to augment surveillance strategies of DF and other communicable diseases in an effort to promote actions of prevention and control. The disease surveillance data obtained could be integrated with environmental database in a synergistic way, which will in turn provide additional input towards the development of epidemic forecasting models. Conclusions: This attempt, if successful, will have significant implications that could strengthen public health interventions and offers priorities in designing the most optimum and sustainable control program to combat dengue in Malaysia.","author":[{"dropping-particle":"","family":"Dom","given":"N.C.","non-dropping-particle":"","parse-names":false,"suffix":""},{"dropping-particle":"","family":"Ahmad","given":"A.H.","non-dropping-particle":"","parse-names":false,"suffix":""},{"dropping-particle":"","family":"Latif","given":"Z.A.","non-dropping-particle":"","parse-names":false,"suffix":""},{"dropping-particle":"","family":"Ismail","given":"R.","non-dropping-particle":"","parse-names":false,"suffix":""}],"container-title":"Asian Pacific Journal of Tropical Disease","id":"ITEM-1","issue":"12","issued":{"date-parts":[["2016"]]},"page":"928-935","title":"Application of geographical information system-based analytical hierarchy process as a tool for dengue risk assessment","type":"article-journal","volume":"6"},"uris":["http://www.mendeley.com/documents/?uuid=15fc7897-9c90-45b4-a258-86c29a410a1c"]}],"mendeley":{"formattedCitation":"[13]","plainTextFormattedCitation":"[13]","previouslyFormattedCitation":"[13]"},"properties":{"noteIndex":0},"schema":"https://github.com/citation-style-language/schema/raw/master/csl-citation.json"}</w:instrText>
      </w:r>
      <w:r>
        <w:fldChar w:fldCharType="separate"/>
      </w:r>
      <w:r w:rsidRPr="005E17F2">
        <w:rPr>
          <w:noProof/>
        </w:rPr>
        <w:t>[13]</w:t>
      </w:r>
      <w:r>
        <w:fldChar w:fldCharType="end"/>
      </w:r>
      <w:r w:rsidRPr="000769D7">
        <w:t>.</w:t>
      </w:r>
      <w:r>
        <w:t xml:space="preserve"> </w:t>
      </w:r>
      <w:r w:rsidRPr="006537A3">
        <w:t xml:space="preserve">Spatial analysis can identify </w:t>
      </w:r>
      <w:r>
        <w:t>DF</w:t>
      </w:r>
      <w:r w:rsidRPr="006537A3">
        <w:t xml:space="preserve"> clusters that are larger than what would be expected based on the underlying environmental characteristics, climatology, and demographic structure</w:t>
      </w:r>
      <w:r>
        <w:t xml:space="preserve">. </w:t>
      </w:r>
      <w:r w:rsidRPr="00136176">
        <w:t>The integration of the Analytical Hierarchy Process (AHP) method in GIS to solve public health problems has received considerable attention among researchers</w:t>
      </w:r>
      <w:r>
        <w:t xml:space="preserve"> </w:t>
      </w:r>
      <w:r>
        <w:fldChar w:fldCharType="begin" w:fldLock="1"/>
      </w:r>
      <w:r>
        <w:instrText>ADDIN CSL_CITATION {"citationItems":[{"id":"ITEM-1","itemData":{"DOI":"10.20884/1.iphj.2020.1.1.3012","abstract":"Background: Dengue is a viral infection transmitted by mosquitoes that continue to be a significant health challenge in many tropical and subtropical countries. So far, Geographic Information System (GIS) in the health sector contributed to disease prevention, especially for visualization of the disease case. GIS is one of the important tools in spatial epidemiology to assist identification and spatial analysis of the target disease intervention. This article summarizes the use of GIS to assess risk factors for DHF, and how efficient the use of GIS in facilitating the improvement of disease surveillance systems for the prevention and control of diseases. Methods: This paper was developed using a descriptive approach, conducted in September and December 2019. The primary data used in this research were from ScienceDirect databased by collecting some studies that assess the risk of dengue using GIS applications. Results: The results of reviews of research in several countries which use GIS applications in assessing the risk of dengue incidence, ie, in Swat, Pakistan evaluated the impact of the slope, population density, and the distance to the river through GIS applications. Then in Seremban and Putrajaya, Malaysia implemented a participatory approach to identify the spatial risk of dengue in the community. Research in Lahore, Pakistan, analyzed the risk of dengue. Study in Colombia conducted GWR to evaluate the association between socioeconomic factors and the environment with dengue fever incidence. Recently, research in Taiwan integrated GIS to detect the correlation between population density and the possibility of human contact with mosquitoes. Conclusions: Based on the results of the review, it can be drawn that asses the dengue risk with GIS applications is highly relevant because it can determine the factors which affect the incidence of dengue. Besides, it can determine the spatial correlation between risk factors and the incidence of dengue, as well as to evaluate the impact of the dengue occurrence.","author":[{"dropping-particle":"","family":"Zannah","given":"R.","non-dropping-particle":"","parse-names":false,"suffix":""},{"dropping-particle":"","family":"Sulistyawati","given":"S.","non-dropping-particle":"","parse-names":false,"suffix":""},{"dropping-particle":"","family":"Dewi","given":"I.F.","non-dropping-particle":"","parse-names":false,"suffix":""}],"container-title":"Insights in Public Health Journal","id":"ITEM-1","issue":"1","issued":{"date-parts":[["2020"]]},"page":"36","title":"Measuring the dengue risk area using Geographic Information System: a review","type":"article-journal","volume":"1"},"uris":["http://www.mendeley.com/documents/?uuid=8187182c-6073-4115-9916-eebca0d6b549"]},{"id":"ITEM-2","itemData":{"DOI":"10.3390/rs12101585","ISSN":"20724292","abstract":"The National Malaria Control Program (NMCP) in Madagascar classifies Malagasy districts into two malaria situations: districts in the pre-elimination phase and districts in the control phase. Indoor residual spraying (IRS) is identified as the main intervention means to control malaria in the Central Highlands. However, it involves an important logistical mobilization and thus necessitates prioritization of interventions according to the magnitude of malaria risks. Our objectives were to map the malaria transmission risk and to develop a tool to support the Malagasy Ministry of Public Health (MoH) for selective IRS implementation. For the 2014-2016 period, different sources of remotely sensed data were used to update land cover information and substitute in situ climatic data. Spatial modeling was performed based on multi-criteria evaluation (MCE) to assess malaria risk. Models were mainly based on environment and climate. Three annual malaria risk maps were obtained for 2014, 2015, and 2016. Annual parasite incidence data were used to validate the results. In 2016, the validation of the model using a receiver operating characteristic (ROC) curve showed an accuracy of 0.736; 95% CI [0.669-0.803]. A free plugin for QGIS software was made available for NMCP decision makers to prioritize areas for IRS. An annual update of the model provides the basic information for decision making before each IRS campaign. In Madagascar and beyond, the availability of the free plugin for open-source software facilitates the transfer to the MoH and allows further application to other problems and contexts.","author":[{"dropping-particle":"","family":"Rakotoarison","given":"H.A.","non-dropping-particle":"","parse-names":false,"suffix":""},{"dropping-particle":"","family":"Rasamimalala","given":"M.","non-dropping-particle":"","parse-names":false,"suffix":""},{"dropping-particle":"","family":"Rakotondramanga","given":"J.M.","non-dropping-particle":"","parse-names":false,"suffix":""},{"dropping-particle":"","family":"Ramiranirina","given":"B.","non-dropping-particle":"","parse-names":false,"suffix":""},{"dropping-particle":"","family":"Franchard","given":"T.","non-dropping-particle":"","parse-names":false,"suffix":""},{"dropping-particle":"","family":"Kapesa","given":"L.","non-dropping-particle":"","parse-names":false,"suffix":""},{"dropping-particle":"","family":"Razafindrakoto","given":"J.","non-dropping-particle":"","parse-names":false,"suffix":""},{"dropping-particle":"","family":"Guis","given":"H.","non-dropping-particle":"","parse-names":false,"suffix":""},{"dropping-particle":"","family":"Tantely","given":"L.M.","non-dropping-particle":"","parse-names":false,"suffix":""},{"dropping-particle":"","family":"Girod","given":"R.","non-dropping-particle":"","parse-names":false,"suffix":""},{"dropping-particle":"","family":"Rakotoniaina","given":"S.","non-dropping-particle":"","parse-names":false,"suffix":""},{"dropping-particle":"","family":"Baril","given":"L.","non-dropping-particle":"","parse-names":false,"suffix":""},{"dropping-particle":"","family":"Piola","given":"P.","non-dropping-particle":"","parse-names":false,"suffix":""},{"dropping-particle":"","family":"Rakotomanana","given":"F.","non-dropping-particle":"","parse-names":false,"suffix":""}],"container-title":"Remote Sensing","id":"ITEM-2","issue":"10","issued":{"date-parts":[["2020"]]},"page":"1-22","title":"Remote sensing and multi-criteria evaluation for malaria risk mapping to support indoor residual spraying prioritization in the central highlands of Madagascar","type":"article-journal","volume":"12"},"uris":["http://www.mendeley.com/documents/?uuid=54a087ff-f315-408a-949c-9430758081c4"]},{"id":"ITEM-3","itemData":{"DOI":"10.1007/s41324-018-0187-x","ISSN":"23663294","abstract":"Detecting and mapping of Dengue risk areas is a complex, tiring, multifaceted and protracted task requiring evaluation of many criteria. It is not sure that always one single factor is liable for Dengue Fever transmission in all areas, but it differs with changing geographical location. This paper presents the application of analytic hierarchy process alongside with geospatial analysis for detecting Dengue risk areas in Kolkata Municipal Corporation by integrating environmental parameters. It employs two stage analyses synergistically to form a Spatial Decision Support System. The first stage analysis makes use of the thematic layers in Geographical Information System in combination with environmental factors leading to support the second stage analysis using the analytic hierarchy process as a tool. Moreover, weighted overlay analysis was used for detecting potential risk areas. The research result shows that the calculated weights of criteria are within the range of Consistency Ratio being &gt; 0.1. The chosen decision criteria are consistent because the calculated Consistency Ratio is 0.0551 which is &lt; 0.1 and considered as acceptable for decision making. The most influential factors are found the Household Density, Water Logged Areas, Land Surface Temperature, Population Density, Land Elevation and Land Use Land Cover. The present study shows that the spatial relationship can help in understanding the pattern and distribution of dengue outbreak and zonation of potential risk areas.","author":[{"dropping-particle":"","family":"Ali","given":"S.A.","non-dropping-particle":"","parse-names":false,"suffix":""},{"dropping-particle":"","family":"Ahmad","given":"A.","non-dropping-particle":"","parse-names":false,"suffix":""}],"container-title":"Spatial Information Research","id":"ITEM-3","issue":"4","issued":{"date-parts":[["2018"]]},"page":"449-469","publisher":"Springer Singapore","title":"Using analytic hierarchy process with GIS for Dengue risk mapping in Kolkata Municipal Corporation, West Bengal, India","type":"article-journal","volume":"26"},"uris":["http://www.mendeley.com/documents/?uuid=3fee3cc4-0e75-4d4f-b967-3ea1e83f73c7"]},{"id":"ITEM-4","itemData":{"DOI":"10.5194/isprsarchives-XL-8-171-2014","ISSN":"16821750","abstract":"Malaria epidemic is one of the complex spatial problems around the world. According to WHO, an estimated 6, 27, 000 deaths occurred due to malaria in 2012. In many developing nations with diverse ecological regions, it is still a large cause of human mortality. Owing to the incompleteness of epidemiological data and their spatial origin, the quantification of disease incidence burdening basic public health planning is a major constrain especially in developing countries. The present study focuses on the integrated Geospatial and Multi-Criteria Evaluation (AHP) technique to determine malaria risk zones. The study is conducted in Vadodara district, including 12 Taluka among which 4 Taluka are predominantly tribal. The influence of climatic and physical environmental factors viz., rainfall, hydro geomorphology; drainage, elevation, and land cover are used to score their share in the evaluation of malariogenic condition. This was synthesized on the basis of preference over each factor and the total weights of each data and data layer were computed and visualized. The district was divided into three viz., high, moderate and low risk zones .It was observed that a geographical area of 1885.2sq.km comprising 30.3% fall in high risk zone. The risk zones identified on the basis of these parameters and assigned weights shows a close resemblance with ground condition. As the API distribution for 2011overlaid corresponds to the risk zones identified. The study demonstrates the significance and prospect of integrating Geospatial tools and Analytical Hierarchy Process for malaria risk zones and dynamics of malaria transmission.","author":[{"dropping-particle":"","family":"Bhatt","given":"B.","non-dropping-particle":"","parse-names":false,"suffix":""},{"dropping-particle":"","family":"Joshi","given":"J.P.","non-dropping-particle":"","parse-names":false,"suffix":""}],"container-title":"International Archives of the Photogrammetry, Remote Sensing and Spatial Information Sciences - ISPRS Archives","id":"ITEM-4","issue":"1","issued":{"date-parts":[["2014"]]},"page":"171-176","title":"Analytical hierarchy process modeling for malaria risk zones in vadodara district, Gujarat","type":"article-journal","volume":"XL-8"},"uris":["http://www.mendeley.com/documents/?uuid=bc197fab-3e74-4d0a-839a-5eac7d8bb2f2"]}],"mendeley":{"formattedCitation":"[7], [8], [12], [14]","plainTextFormattedCitation":"[7], [8], [12], [14]","previouslyFormattedCitation":"[7], [8], [12], [14]"},"properties":{"noteIndex":0},"schema":"https://github.com/citation-style-language/schema/raw/master/csl-citation.json"}</w:instrText>
      </w:r>
      <w:r>
        <w:fldChar w:fldCharType="separate"/>
      </w:r>
      <w:r w:rsidRPr="005E17F2">
        <w:rPr>
          <w:noProof/>
        </w:rPr>
        <w:t>[7], [8], [12], [14]</w:t>
      </w:r>
      <w:r>
        <w:fldChar w:fldCharType="end"/>
      </w:r>
      <w:r w:rsidRPr="00136176">
        <w:t>.</w:t>
      </w:r>
      <w:r>
        <w:t xml:space="preserve"> </w:t>
      </w:r>
      <w:r w:rsidRPr="00136176">
        <w:t>Multi-</w:t>
      </w:r>
      <w:proofErr w:type="gramStart"/>
      <w:r w:rsidRPr="00136176">
        <w:t>criteria decision making</w:t>
      </w:r>
      <w:proofErr w:type="gramEnd"/>
      <w:r w:rsidRPr="00136176">
        <w:t xml:space="preserve"> techniques can be used to make the public health problems more explicit, rational and efficient.</w:t>
      </w:r>
      <w:r>
        <w:t xml:space="preserve"> </w:t>
      </w:r>
    </w:p>
    <w:p w14:paraId="09AEED43" w14:textId="4E3D2495" w:rsidR="005E17F2" w:rsidRDefault="005E17F2" w:rsidP="005E17F2">
      <w:pPr>
        <w:jc w:val="both"/>
      </w:pPr>
      <w:r>
        <w:tab/>
      </w:r>
      <w:r>
        <w:fldChar w:fldCharType="begin" w:fldLock="1"/>
      </w:r>
      <w:r>
        <w:instrText>ADDIN CSL_CITATION {"citationItems":[{"id":"ITEM-1","itemData":{"DOI":"10.5194/isprsarchives-XL-8-171-2014","ISSN":"16821750","abstract":"Malaria epidemic is one of the complex spatial problems around the world. According to WHO, an estimated 6, 27, 000 deaths occurred due to malaria in 2012. In many developing nations with diverse ecological regions, it is still a large cause of human mortality. Owing to the incompleteness of epidemiological data and their spatial origin, the quantification of disease incidence burdening basic public health planning is a major constrain especially in developing countries. The present study focuses on the integrated Geospatial and Multi-Criteria Evaluation (AHP) technique to determine malaria risk zones. The study is conducted in Vadodara district, including 12 Taluka among which 4 Taluka are predominantly tribal. The influence of climatic and physical environmental factors viz., rainfall, hydro geomorphology; drainage, elevation, and land cover are used to score their share in the evaluation of malariogenic condition. This was synthesized on the basis of preference over each factor and the total weights of each data and data layer were computed and visualized. The district was divided into three viz., high, moderate and low risk zones .It was observed that a geographical area of 1885.2sq.km comprising 30.3% fall in high risk zone. The risk zones identified on the basis of these parameters and assigned weights shows a close resemblance with ground condition. As the API distribution for 2011overlaid corresponds to the risk zones identified. The study demonstrates the significance and prospect of integrating Geospatial tools and Analytical Hierarchy Process for malaria risk zones and dynamics of malaria transmission.","author":[{"dropping-particle":"","family":"Bhatt","given":"B.","non-dropping-particle":"","parse-names":false,"suffix":""},{"dropping-particle":"","family":"Joshi","given":"J.P.","non-dropping-particle":"","parse-names":false,"suffix":""}],"container-title":"International Archives of the Photogrammetry, Remote Sensing and Spatial Information Sciences - ISPRS Archives","id":"ITEM-1","issue":"1","issued":{"date-parts":[["2014"]]},"page":"171-176","title":"Analytical hierarchy process modeling for malaria risk zones in vadodara district, Gujarat","type":"article-journal","volume":"XL-8"},"uris":["http://www.mendeley.com/documents/?uuid=bc197fab-3e74-4d0a-839a-5eac7d8bb2f2"]}],"mendeley":{"formattedCitation":"[12]","manualFormatting":"B. Bhatt and Joshi (2014)","plainTextFormattedCitation":"[12]","previouslyFormattedCitation":"[12]"},"properties":{"noteIndex":0},"schema":"https://github.com/citation-style-language/schema/raw/master/csl-citation.json"}</w:instrText>
      </w:r>
      <w:r>
        <w:fldChar w:fldCharType="separate"/>
      </w:r>
      <w:r w:rsidRPr="00CC367A">
        <w:rPr>
          <w:noProof/>
        </w:rPr>
        <w:t xml:space="preserve">B. Bhatt and Joshi </w:t>
      </w:r>
      <w:r>
        <w:rPr>
          <w:noProof/>
        </w:rPr>
        <w:t>(</w:t>
      </w:r>
      <w:r w:rsidRPr="00CC367A">
        <w:rPr>
          <w:noProof/>
        </w:rPr>
        <w:t>2014)</w:t>
      </w:r>
      <w:r>
        <w:fldChar w:fldCharType="end"/>
      </w:r>
      <w:r>
        <w:t xml:space="preserve"> </w:t>
      </w:r>
      <w:r w:rsidRPr="00CC367A">
        <w:t>revealed the importance and potential of integrating geospatial tools and the Analytical Hierarchy Process for malaria risk zones and transmission dynamics.</w:t>
      </w:r>
      <w:r>
        <w:t xml:space="preserve"> </w:t>
      </w:r>
      <w:r>
        <w:fldChar w:fldCharType="begin" w:fldLock="1"/>
      </w:r>
      <w:r>
        <w:instrText>ADDIN CSL_CITATION {"citationItems":[{"id":"ITEM-1","itemData":{"ISBN":"2222-1808","abstract":"Objective: To highlight the use of analytical hierarchy process (AHP) in geographical information system that incorporates environmental indices to generate dengue risk zonation area. Methods: The medical database considered for the study was referenced to the environmental data layers. Factors related to the risk of dengue fever (DF) were selected throughout previous research and were arranged in a hierarchical structure. The relative weights of factors were calculated, which were within acceptable range with the consistency ratio being less than 0.1. The outcomes from AHP based DF risk zonation area produced useful information on different levels of risks. Results: As a result, factor weights used in AHP were evaluated and found to be acceptable as the consistency ratio of 0.05, which was &lt;0.1. The most influential factors were found to be housing types, population density, land-use and elevation. Findings from this study provided valuable insights that could potentially enhance public health initiatives. The geographical information system and spatial analytical method could be applied to augment surveillance strategies of DF and other communicable diseases in an effort to promote actions of prevention and control. The disease surveillance data obtained could be integrated with environmental database in a synergistic way, which will in turn provide additional input towards the development of epidemic forecasting models. Conclusions: This attempt, if successful, will have significant implications that could strengthen public health interventions and offers priorities in designing the most optimum and sustainable control program to combat dengue in Malaysia.","author":[{"dropping-particle":"","family":"Dom","given":"N.C.","non-dropping-particle":"","parse-names":false,"suffix":""},{"dropping-particle":"","family":"Ahmad","given":"A.H.","non-dropping-particle":"","parse-names":false,"suffix":""},{"dropping-particle":"","family":"Latif","given":"Z.A.","non-dropping-particle":"","parse-names":false,"suffix":""},{"dropping-particle":"","family":"Ismail","given":"R.","non-dropping-particle":"","parse-names":false,"suffix":""}],"container-title":"Asian Pacific Journal of Tropical Disease","id":"ITEM-1","issue":"12","issued":{"date-parts":[["2016"]]},"page":"928-935","title":"Application of geographical information system-based analytical hierarchy process as a tool for dengue risk assessment","type":"article-journal","volume":"6"},"uris":["http://www.mendeley.com/documents/?uuid=15fc7897-9c90-45b4-a258-86c29a410a1c"]}],"mendeley":{"formattedCitation":"[13]","manualFormatting":"Dom et al. (2016)","plainTextFormattedCitation":"[13]","previouslyFormattedCitation":"[13]"},"properties":{"noteIndex":0},"schema":"https://github.com/citation-style-language/schema/raw/master/csl-citation.json"}</w:instrText>
      </w:r>
      <w:r>
        <w:fldChar w:fldCharType="separate"/>
      </w:r>
      <w:r w:rsidRPr="00136176">
        <w:rPr>
          <w:noProof/>
        </w:rPr>
        <w:t xml:space="preserve">Dom et al. </w:t>
      </w:r>
      <w:r>
        <w:rPr>
          <w:noProof/>
        </w:rPr>
        <w:t>(</w:t>
      </w:r>
      <w:r w:rsidRPr="00136176">
        <w:rPr>
          <w:noProof/>
        </w:rPr>
        <w:t>2016)</w:t>
      </w:r>
      <w:r>
        <w:fldChar w:fldCharType="end"/>
      </w:r>
      <w:r>
        <w:t xml:space="preserve"> </w:t>
      </w:r>
      <w:proofErr w:type="gramStart"/>
      <w:r w:rsidRPr="00136176">
        <w:t>study's  findings</w:t>
      </w:r>
      <w:proofErr w:type="gramEnd"/>
      <w:r w:rsidRPr="00136176">
        <w:t xml:space="preserve"> provided valuable insights that could potentially improve public health initiatives. The geographical information system and spatial analytical method could be used to supplement DF and other communicable disease surveillance strategies in order to promote prevention and control actions.</w:t>
      </w:r>
      <w:r w:rsidRPr="002A6A9A">
        <w:t xml:space="preserve"> </w:t>
      </w:r>
      <w:r>
        <w:fldChar w:fldCharType="begin" w:fldLock="1"/>
      </w:r>
      <w:r>
        <w:instrText>ADDIN CSL_CITATION {"citationItems":[{"id":"ITEM-1","itemData":{"DOI":"10.1007/s41324-018-0187-x","ISSN":"23663294","abstract":"Detecting and mapping of Dengue risk areas is a complex, tiring, multifaceted and protracted task requiring evaluation of many criteria. It is not sure that always one single factor is liable for Dengue Fever transmission in all areas, but it differs with changing geographical location. This paper presents the application of analytic hierarchy process alongside with geospatial analysis for detecting Dengue risk areas in Kolkata Municipal Corporation by integrating environmental parameters. It employs two stage analyses synergistically to form a Spatial Decision Support System. The first stage analysis makes use of the thematic layers in Geographical Information System in combination with environmental factors leading to support the second stage analysis using the analytic hierarchy process as a tool. Moreover, weighted overlay analysis was used for detecting potential risk areas. The research result shows that the calculated weights of criteria are within the range of Consistency Ratio being &gt; 0.1. The chosen decision criteria are consistent because the calculated Consistency Ratio is 0.0551 which is &lt; 0.1 and considered as acceptable for decision making. The most influential factors are found the Household Density, Water Logged Areas, Land Surface Temperature, Population Density, Land Elevation and Land Use Land Cover. The present study shows that the spatial relationship can help in understanding the pattern and distribution of dengue outbreak and zonation of potential risk areas.","author":[{"dropping-particle":"","family":"Ali","given":"S.A.","non-dropping-particle":"","parse-names":false,"suffix":""},{"dropping-particle":"","family":"Ahmad","given":"A.","non-dropping-particle":"","parse-names":false,"suffix":""}],"container-title":"Spatial Information Research","id":"ITEM-1","issue":"4","issued":{"date-parts":[["2018"]]},"page":"449-469","publisher":"Springer Singapore","title":"Using analytic hierarchy process with GIS for Dengue risk mapping in Kolkata Municipal Corporation, West Bengal, India","type":"article-journal","volume":"26"},"uris":["http://www.mendeley.com/documents/?uuid=3fee3cc4-0e75-4d4f-b967-3ea1e83f73c7"]}],"mendeley":{"formattedCitation":"[7]","manualFormatting":"Ali and Ahmad (2018)","plainTextFormattedCitation":"[7]","previouslyFormattedCitation":"[7]"},"properties":{"noteIndex":0},"schema":"https://github.com/citation-style-language/schema/raw/master/csl-citation.json"}</w:instrText>
      </w:r>
      <w:r>
        <w:fldChar w:fldCharType="separate"/>
      </w:r>
      <w:r w:rsidRPr="00CC367A">
        <w:rPr>
          <w:noProof/>
        </w:rPr>
        <w:t xml:space="preserve">Ali and Ahmad </w:t>
      </w:r>
      <w:r>
        <w:rPr>
          <w:noProof/>
        </w:rPr>
        <w:t>(</w:t>
      </w:r>
      <w:r w:rsidRPr="00CC367A">
        <w:rPr>
          <w:noProof/>
        </w:rPr>
        <w:t>2018)</w:t>
      </w:r>
      <w:r>
        <w:fldChar w:fldCharType="end"/>
      </w:r>
      <w:r>
        <w:t xml:space="preserve"> </w:t>
      </w:r>
      <w:r w:rsidRPr="00CC367A">
        <w:t>demonstrate</w:t>
      </w:r>
      <w:r>
        <w:t>d</w:t>
      </w:r>
      <w:r w:rsidRPr="00CC367A">
        <w:t xml:space="preserve"> how </w:t>
      </w:r>
      <w:r>
        <w:t>AHP-GIS</w:t>
      </w:r>
      <w:r w:rsidRPr="00CC367A">
        <w:t xml:space="preserve"> can aid in understanding the pattern and distribution of dengue outbreaks, as well as the zonation of potential risk areas.</w:t>
      </w:r>
      <w:r>
        <w:t xml:space="preserve"> </w:t>
      </w:r>
      <w:r>
        <w:fldChar w:fldCharType="begin" w:fldLock="1"/>
      </w:r>
      <w:r>
        <w:instrText>ADDIN CSL_CITATION {"citationItems":[{"id":"ITEM-1","itemData":{"DOI":"10.3390/rs12101585","ISSN":"20724292","abstract":"The National Malaria Control Program (NMCP) in Madagascar classifies Malagasy districts into two malaria situations: districts in the pre-elimination phase and districts in the control phase. Indoor residual spraying (IRS) is identified as the main intervention means to control malaria in the Central Highlands. However, it involves an important logistical mobilization and thus necessitates prioritization of interventions according to the magnitude of malaria risks. Our objectives were to map the malaria transmission risk and to develop a tool to support the Malagasy Ministry of Public Health (MoH) for selective IRS implementation. For the 2014-2016 period, different sources of remotely sensed data were used to update land cover information and substitute in situ climatic data. Spatial modeling was performed based on multi-criteria evaluation (MCE) to assess malaria risk. Models were mainly based on environment and climate. Three annual malaria risk maps were obtained for 2014, 2015, and 2016. Annual parasite incidence data were used to validate the results. In 2016, the validation of the model using a receiver operating characteristic (ROC) curve showed an accuracy of 0.736; 95% CI [0.669-0.803]. A free plugin for QGIS software was made available for NMCP decision makers to prioritize areas for IRS. An annual update of the model provides the basic information for decision making before each IRS campaign. In Madagascar and beyond, the availability of the free plugin for open-source software facilitates the transfer to the MoH and allows further application to other problems and contexts.","author":[{"dropping-particle":"","family":"Rakotoarison","given":"H.A.","non-dropping-particle":"","parse-names":false,"suffix":""},{"dropping-particle":"","family":"Rasamimalala","given":"M.","non-dropping-particle":"","parse-names":false,"suffix":""},{"dropping-particle":"","family":"Rakotondramanga","given":"J.M.","non-dropping-particle":"","parse-names":false,"suffix":""},{"dropping-particle":"","family":"Ramiranirina","given":"B.","non-dropping-particle":"","parse-names":false,"suffix":""},{"dropping-particle":"","family":"Franchard","given":"T.","non-dropping-particle":"","parse-names":false,"suffix":""},{"dropping-particle":"","family":"Kapesa","given":"L.","non-dropping-particle":"","parse-names":false,"suffix":""},{"dropping-particle":"","family":"Razafindrakoto","given":"J.","non-dropping-particle":"","parse-names":false,"suffix":""},{"dropping-particle":"","family":"Guis","given":"H.","non-dropping-particle":"","parse-names":false,"suffix":""},{"dropping-particle":"","family":"Tantely","given":"L.M.","non-dropping-particle":"","parse-names":false,"suffix":""},{"dropping-particle":"","family":"Girod","given":"R.","non-dropping-particle":"","parse-names":false,"suffix":""},{"dropping-particle":"","family":"Rakotoniaina","given":"S.","non-dropping-particle":"","parse-names":false,"suffix":""},{"dropping-particle":"","family":"Baril","given":"L.","non-dropping-particle":"","parse-names":false,"suffix":""},{"dropping-particle":"","family":"Piola","given":"P.","non-dropping-particle":"","parse-names":false,"suffix":""},{"dropping-particle":"","family":"Rakotomanana","given":"F.","non-dropping-particle":"","parse-names":false,"suffix":""}],"container-title":"Remote Sensing","id":"ITEM-1","issue":"10","issued":{"date-parts":[["2020"]]},"page":"1-22","title":"Remote sensing and multi-criteria evaluation for malaria risk mapping to support indoor residual spraying prioritization in the central highlands of Madagascar","type":"article-journal","volume":"12"},"uris":["http://www.mendeley.com/documents/?uuid=54a087ff-f315-408a-949c-9430758081c4"]}],"mendeley":{"formattedCitation":"[14]","manualFormatting":"Rakotoarison et al. (2020)","plainTextFormattedCitation":"[14]","previouslyFormattedCitation":"[14]"},"properties":{"noteIndex":0},"schema":"https://github.com/citation-style-language/schema/raw/master/csl-citation.json"}</w:instrText>
      </w:r>
      <w:r>
        <w:fldChar w:fldCharType="separate"/>
      </w:r>
      <w:r w:rsidRPr="0091428E">
        <w:rPr>
          <w:noProof/>
        </w:rPr>
        <w:t xml:space="preserve">Rakotoarison et al. </w:t>
      </w:r>
      <w:r>
        <w:rPr>
          <w:noProof/>
        </w:rPr>
        <w:t>(</w:t>
      </w:r>
      <w:r w:rsidRPr="0091428E">
        <w:rPr>
          <w:noProof/>
        </w:rPr>
        <w:t>2020)</w:t>
      </w:r>
      <w:r>
        <w:fldChar w:fldCharType="end"/>
      </w:r>
      <w:r>
        <w:t xml:space="preserve"> proved </w:t>
      </w:r>
      <w:r w:rsidRPr="0091428E">
        <w:t xml:space="preserve">GIS </w:t>
      </w:r>
      <w:r>
        <w:t>integrat</w:t>
      </w:r>
      <w:r w:rsidRPr="0091428E">
        <w:t xml:space="preserve">ed with </w:t>
      </w:r>
      <w:r>
        <w:t>AHP</w:t>
      </w:r>
      <w:r w:rsidRPr="0091428E">
        <w:t>, with their capacity for spatially referenced data storage, data management, analysis, modeling, and mapping, is a useful tool for understanding spatial decision issues in malaria-risk areas in Madagascar.</w:t>
      </w:r>
      <w:r>
        <w:t xml:space="preserve"> </w:t>
      </w:r>
      <w:r>
        <w:fldChar w:fldCharType="begin" w:fldLock="1"/>
      </w:r>
      <w:r>
        <w:instrText>ADDIN CSL_CITATION {"citationItems":[{"id":"ITEM-1","itemData":{"DOI":"10.1186/s12879-016-2170-2","ISSN":"14712334","PMID":"28086897","abstract":"Background: An international spread of Zika virus (ZIKV) infection has attracted global attention in 2015. The infection also affected Guangdong province, which is located in southern China. Multiple factors, including frequent communication with South America and Southeast Asia, suitable climate (sub-tropical) for the habitat of Aedes species, may increase the risk of ZIKV disease transmission in this region. Methods: An analytic hierarchy process (AHP) method was used to develop a semi-quantitative ZIKV risk assessment model. After selecting indicators, we invited experts in related professions to identify the index weight and based on that a hierarchical structure was generated. Then a series of pairwise comparisons were used to determine the relative importance of the criteria. Finally, the optimal model was established to estimate the spatial and seasonal transmission risk of ZIKV. Results: A total of 15 factors that potentially influenced the risk of ZIKV transmission were identified. The factor that received the largest weight was epidemic of ZIKV in Guangdong province (combined weight [CW] =0.37), followed by the mosquito density (CW = 0.18) and the epidemic of DENV in Guangdong province (CW = 0.14). The distribution of 123 districts/counties' RIs of ZIKV in Guangdong through different seasons were presented, respectively. Conclusions: Higher risk was observed within Pearl River Delta including Guangzhou, Shenzhen and Jiangmen, and the risk is greater in summer and autumn compared to spring and winter.","author":[{"dropping-particle":"","family":"Li","given":"X.","non-dropping-particle":"","parse-names":false,"suffix":""},{"dropping-particle":"","family":"Liu","given":"T.","non-dropping-particle":"","parse-names":false,"suffix":""},{"dropping-particle":"","family":"Lin","given":"L.","non-dropping-particle":"","parse-names":false,"suffix":""},{"dropping-particle":"","family":"Song","given":"T.","non-dropping-particle":"","parse-names":false,"suffix":""},{"dropping-particle":"","family":"Du","given":"X.","non-dropping-particle":"","parse-names":false,"suffix":""},{"dropping-particle":"","family":"Lin","given":"H.","non-dropping-particle":"","parse-names":false,"suffix":""},{"dropping-particle":"","family":"Xiao","given":"J.","non-dropping-particle":"","parse-names":false,"suffix":""},{"dropping-particle":"","family":"He","given":"J.","non-dropping-particle":"","parse-names":false,"suffix":""},{"dropping-particle":"","family":"Liu","given":"L.","non-dropping-particle":"","parse-names":false,"suffix":""},{"dropping-particle":"","family":"Zhu","given":"G.","non-dropping-particle":"","parse-names":false,"suffix":""},{"dropping-particle":"","family":"Zeng","given":"W.","non-dropping-particle":"","parse-names":false,"suffix":""},{"dropping-particle":"","family":"Guo","given":"L.","non-dropping-particle":"","parse-names":false,"suffix":""},{"dropping-particle":"","family":"Cao","given":"Z.","non-dropping-particle":"","parse-names":false,"suffix":""},{"dropping-particle":"","family":"Ma","given":"W.","non-dropping-particle":"","parse-names":false,"suffix":""},{"dropping-particle":"","family":"Zhang","given":"Y.","non-dropping-particle":"","parse-names":false,"suffix":""}],"container-title":"BMC Infectious Diseases","id":"ITEM-1","issue":"1","issued":{"date-parts":[["2017"]]},"page":"1-9","publisher":"BMC Infectious Diseases","title":"Application of the analytic hierarchy approach to the risk assessment of Zika virus disease transmission in Guangdong Province, China","type":"article-journal","volume":"17"},"uris":["http://www.mendeley.com/documents/?uuid=31d6a2e6-642d-425d-98e9-55fa2157ca33"]}],"mendeley":{"formattedCitation":"[15]","manualFormatting":"Li et al. (2017)","plainTextFormattedCitation":"[15]","previouslyFormattedCitation":"[15]"},"properties":{"noteIndex":0},"schema":"https://github.com/citation-style-language/schema/raw/master/csl-citation.json"}</w:instrText>
      </w:r>
      <w:r>
        <w:fldChar w:fldCharType="separate"/>
      </w:r>
      <w:r w:rsidRPr="002A6A9A">
        <w:rPr>
          <w:noProof/>
        </w:rPr>
        <w:t xml:space="preserve">Li et al. </w:t>
      </w:r>
      <w:r>
        <w:rPr>
          <w:noProof/>
        </w:rPr>
        <w:t>(</w:t>
      </w:r>
      <w:r w:rsidRPr="002A6A9A">
        <w:rPr>
          <w:noProof/>
        </w:rPr>
        <w:t>2017)</w:t>
      </w:r>
      <w:r>
        <w:fldChar w:fldCharType="end"/>
      </w:r>
      <w:r>
        <w:t xml:space="preserve"> estimated t</w:t>
      </w:r>
      <w:r w:rsidRPr="002A6A9A">
        <w:t>he risk of ZIKV disease transmission in Guangdong, China</w:t>
      </w:r>
      <w:r>
        <w:t xml:space="preserve"> with AHP-GIS and found higher </w:t>
      </w:r>
      <w:r w:rsidRPr="002A6A9A">
        <w:t>risk was observed in the Pearl River Delta, including Guangzhou, Shenzhen, and Nanjing.</w:t>
      </w:r>
    </w:p>
    <w:p w14:paraId="5905FDBE" w14:textId="6421442E" w:rsidR="00D3478B" w:rsidRPr="005E17F2" w:rsidRDefault="005E17F2" w:rsidP="005E17F2">
      <w:pPr>
        <w:ind w:firstLine="720"/>
        <w:jc w:val="both"/>
        <w:rPr>
          <w:lang w:val="en-ID"/>
        </w:rPr>
      </w:pPr>
      <w:r w:rsidRPr="009F239D">
        <w:t>Previously, most studies used GIS-AHP to model DF ris</w:t>
      </w:r>
      <w:r>
        <w:t xml:space="preserve">k or </w:t>
      </w:r>
      <w:r w:rsidRPr="009F239D">
        <w:t>vulnerability based on a number of commonly used variables, such as topography, climatology and population demographics. These variables have limitations and for this reason, we propose the use of several variables that allow interaction between humans, namely the spread of dengue fever through humans</w:t>
      </w:r>
      <w:r>
        <w:t xml:space="preserve"> </w:t>
      </w:r>
      <w:r w:rsidRPr="009F239D">
        <w:t>via the bites of infected female mosquitos (</w:t>
      </w:r>
      <w:proofErr w:type="gramStart"/>
      <w:r w:rsidRPr="009F239D">
        <w:t>i.e.</w:t>
      </w:r>
      <w:proofErr w:type="gramEnd"/>
      <w:r w:rsidRPr="009F239D">
        <w:t xml:space="preserve"> population density, distance to the road, radius of health facilities, radius of educational facilities, radius of office area, and land use) to define DF vulnerability zones.</w:t>
      </w:r>
      <w:r>
        <w:t xml:space="preserve"> </w:t>
      </w:r>
      <w:r w:rsidRPr="00CC33A8">
        <w:t>The buffer distance was considered due to the flight distance factors covered during the Aedes mosquito's life span</w:t>
      </w:r>
      <w:r>
        <w:t xml:space="preserve"> </w:t>
      </w:r>
      <w:r>
        <w:fldChar w:fldCharType="begin" w:fldLock="1"/>
      </w:r>
      <w:r>
        <w:instrText>ADDIN CSL_CITATION {"citationItems":[{"id":"ITEM-1","itemData":{"DOI":"10.4269/ajtmh.12-0485","ISSN":"00029637","PMID":"24002483","abstract":"Mosquito management within households remains central to the control of dengue virus transmission. An important factor in these management decisions is the spatial clustering of Aedes aegypti.We measured spatial clustering of Ae. aegypti in the town of Borb́ n, Ecuador and assessed what characteristics of breeding containers influenced the clustering. We used logistic regression to assess the spatial extent of that clustering. We found strong evidence for juvenile mosquito clustering within 20 m and for adult mosquito clustering within 10 m, and stronger clustering associations for containers 3 40 L than those &gt; 40 L. Aedes aegypti clusters persisted after adjusting for various container characteristics, suggesting that patterns are likely attributable to short dispersal distances rather than shared characteristics of containers in cluster areas. These findings have implications for targeting Ae. aegypti control efforts. Copyright © 2013 by The American Society of Tropical Medicine and Hygiene.","author":[{"dropping-particle":"","family":"Schafrick","given":"N.H.","non-dropping-particle":"","parse-names":false,"suffix":""},{"dropping-particle":"","family":"Milbrath","given":"M.O.","non-dropping-particle":"","parse-names":false,"suffix":""},{"dropping-particle":"","family":"Berrocal","given":"V.J.","non-dropping-particle":"","parse-names":false,"suffix":""},{"dropping-particle":"","family":"Wilson","given":"M.L.","non-dropping-particle":"","parse-names":false,"suffix":""},{"dropping-particle":"","family":"Eisenberg","given":"J.N.S.","non-dropping-particle":"","parse-names":false,"suffix":""}],"container-title":"American Journal of Tropical Medicine and Hygiene","id":"ITEM-1","issue":"4","issued":{"date-parts":[["2013"]]},"page":"758-765","title":"Spatial clustering of aedes aegypti related to breeding container characteristics in coastal Ecuador: Implications for dengue control","type":"article-journal","volume":"89"},"uris":["http://www.mendeley.com/documents/?uuid=e6411572-c8db-4be3-a555-937ccda5e278"]}],"mendeley":{"formattedCitation":"[16]","plainTextFormattedCitation":"[16]","previouslyFormattedCitation":"[16]"},"properties":{"noteIndex":0},"schema":"https://github.com/citation-style-language/schema/raw/master/csl-citation.json"}</w:instrText>
      </w:r>
      <w:r>
        <w:fldChar w:fldCharType="separate"/>
      </w:r>
      <w:r w:rsidRPr="005E17F2">
        <w:rPr>
          <w:noProof/>
        </w:rPr>
        <w:t>[16]</w:t>
      </w:r>
      <w:r>
        <w:fldChar w:fldCharType="end"/>
      </w:r>
      <w:r w:rsidRPr="00CC33A8">
        <w:t>. Female mosquitoes have an average lifespan of 8-15 days and can fly 30-50 meters per day. This suggests that female mosquitos can travel a distance of 240 – 600 m during their lifetime</w:t>
      </w:r>
      <w:r>
        <w:t xml:space="preserve"> </w:t>
      </w:r>
      <w:r>
        <w:fldChar w:fldCharType="begin" w:fldLock="1"/>
      </w:r>
      <w:r>
        <w:instrText>ADDIN CSL_CITATION {"citationItems":[{"id":"ITEM-1","itemData":{"ISSN":"1020895X","abstract":"Prediction of dengue risk based on sociocultural factors and its possible spatial relationships was investigated in a dengue endemic area of Jalore in Rajasthan state, India. Data were collected through personal interviews, from 77 households, randomly selected from both dengue-affected samples (DAS) and unaffected samples (UAS). Findings indicated that out of sixty socioeconomic and sociocultural variables, only sixteen were co-related significantly at 0.5 and 0.1 level. These sixteen variables were used in the stepwise regression model; only eight variables, namely, frequency of days of cleaning of water storage containers, housing pattern, use of evaporation cooler, frequency of cleaning of evaporation cooler, protection of water storage containers, mosquito protection measures, frequency of water supply and frequency of waste disposal made a significant contribution to the incidence of DF/DHF/DSS with a R2 of 0.958. The geographical information system (GIS) has been ued to link the spatial and significant sociocultural indicators with the disease data. Using factorial discriminant analysis and spatial modelling with these eight sociocultural indicators, five classes of risk categories ranging from \"very low\" to \"very high\" were identified. Validation of these risk categories on individual houses showed that 94.5% of the houses were correctly classified. The nearest neighbourhood method had been used to prepare a spatial extrapolated social risk area map. The paper highlights the statistical and spatial model development based on the analysis of sociocultural practices adopted by DAS and UAS and from the applications of GIS.","author":[{"dropping-particle":"","family":"Bohra","given":"Al.","non-dropping-particle":"","parse-names":false,"suffix":""},{"dropping-particle":"","family":"Andrianasolo","given":"H.","non-dropping-particle":"","parse-names":false,"suffix":""}],"container-title":"Dengue Bulletin","id":"ITEM-1","issued":{"date-parts":[["2001"]]},"page":"92-102","title":"Application of GIS in modeling of dengue risk based on sociocultural data: Case of Jalore, Rajasthan, India","type":"article-journal","volume":"25"},"uris":["http://www.mendeley.com/documents/?uuid=5d8ec5d4-5bd1-4039-b7c2-39b1f5f85b89"]}],"mendeley":{"formattedCitation":"[17]","plainTextFormattedCitation":"[17]","previouslyFormattedCitation":"[17]"},"properties":{"noteIndex":0},"schema":"https://github.com/citation-style-language/schema/raw/master/csl-citation.json"}</w:instrText>
      </w:r>
      <w:r>
        <w:fldChar w:fldCharType="separate"/>
      </w:r>
      <w:r w:rsidRPr="005E17F2">
        <w:rPr>
          <w:noProof/>
        </w:rPr>
        <w:t>[17]</w:t>
      </w:r>
      <w:r>
        <w:fldChar w:fldCharType="end"/>
      </w:r>
      <w:r w:rsidRPr="00CC33A8">
        <w:t>.</w:t>
      </w:r>
    </w:p>
    <w:p w14:paraId="55E43E7C" w14:textId="77777777" w:rsidR="00904D6D" w:rsidRPr="003D5B84" w:rsidRDefault="00904D6D" w:rsidP="0010046E">
      <w:pPr>
        <w:jc w:val="both"/>
      </w:pPr>
    </w:p>
    <w:p w14:paraId="303DFA6F" w14:textId="77777777" w:rsidR="0010046E" w:rsidRPr="003D5B84" w:rsidRDefault="0010046E" w:rsidP="0010046E">
      <w:pPr>
        <w:jc w:val="both"/>
      </w:pPr>
    </w:p>
    <w:p w14:paraId="54BD3091" w14:textId="43139D12" w:rsidR="00904D6D" w:rsidRPr="005E17F2" w:rsidRDefault="00F33C08" w:rsidP="00D74C5F">
      <w:pPr>
        <w:numPr>
          <w:ilvl w:val="0"/>
          <w:numId w:val="15"/>
        </w:numPr>
        <w:tabs>
          <w:tab w:val="left" w:pos="426"/>
        </w:tabs>
        <w:ind w:left="426" w:hanging="426"/>
        <w:rPr>
          <w:b/>
          <w:bCs/>
          <w:lang w:val="id-ID"/>
        </w:rPr>
      </w:pPr>
      <w:r w:rsidRPr="003D5B84">
        <w:rPr>
          <w:b/>
          <w:bCs/>
          <w:lang w:val="id-ID"/>
        </w:rPr>
        <w:t>RESEARCH METHOD</w:t>
      </w:r>
    </w:p>
    <w:p w14:paraId="1DE28329" w14:textId="5BE2AD76" w:rsidR="005E17F2" w:rsidRPr="003D5B84" w:rsidRDefault="005E17F2" w:rsidP="005E17F2">
      <w:pPr>
        <w:tabs>
          <w:tab w:val="left" w:pos="426"/>
        </w:tabs>
        <w:rPr>
          <w:b/>
          <w:bCs/>
          <w:lang w:val="id-ID"/>
        </w:rPr>
      </w:pPr>
      <w:r>
        <w:rPr>
          <w:b/>
          <w:bCs/>
        </w:rPr>
        <w:t>2.1. Study Area</w:t>
      </w:r>
    </w:p>
    <w:p w14:paraId="0D809FD7" w14:textId="7DCD23CF" w:rsidR="0088233C" w:rsidRDefault="005E17F2" w:rsidP="005E17F2">
      <w:pPr>
        <w:ind w:firstLine="720"/>
        <w:jc w:val="both"/>
        <w:rPr>
          <w:lang w:val="id-ID"/>
        </w:rPr>
      </w:pPr>
      <w:r w:rsidRPr="007463C3">
        <w:rPr>
          <w:lang w:val="id-ID"/>
        </w:rPr>
        <w:t>Gorontalo District is a plateau with an average elevation of 50 meters above sea level and an altitude range of 0 to 2,062 meters</w:t>
      </w:r>
      <w:r w:rsidRPr="00170CA1">
        <w:rPr>
          <w:lang w:val="id-ID"/>
        </w:rPr>
        <w:t xml:space="preserve">. </w:t>
      </w:r>
      <w:r w:rsidRPr="007463C3">
        <w:rPr>
          <w:lang w:val="id-ID"/>
        </w:rPr>
        <w:t>Gorontalo District is geographically located between 0</w:t>
      </w:r>
      <w:r w:rsidRPr="007463C3">
        <w:rPr>
          <w:vertAlign w:val="superscript"/>
          <w:lang w:val="id-ID"/>
        </w:rPr>
        <w:t>o</w:t>
      </w:r>
      <w:r w:rsidRPr="007463C3">
        <w:rPr>
          <w:lang w:val="id-ID"/>
        </w:rPr>
        <w:t>28'23.22"</w:t>
      </w:r>
      <w:r>
        <w:t xml:space="preserve"> </w:t>
      </w:r>
      <w:r w:rsidRPr="007463C3">
        <w:rPr>
          <w:lang w:val="id-ID"/>
        </w:rPr>
        <w:t>- 0</w:t>
      </w:r>
      <w:r w:rsidRPr="007463C3">
        <w:rPr>
          <w:vertAlign w:val="superscript"/>
          <w:lang w:val="id-ID"/>
        </w:rPr>
        <w:t>o</w:t>
      </w:r>
      <w:r w:rsidRPr="007463C3">
        <w:rPr>
          <w:lang w:val="id-ID"/>
        </w:rPr>
        <w:t>55'45.08" North Latitude and 122</w:t>
      </w:r>
      <w:r w:rsidRPr="007463C3">
        <w:rPr>
          <w:vertAlign w:val="superscript"/>
          <w:lang w:val="id-ID"/>
        </w:rPr>
        <w:t>o</w:t>
      </w:r>
      <w:r w:rsidRPr="007463C3">
        <w:rPr>
          <w:lang w:val="id-ID"/>
        </w:rPr>
        <w:t>14'43.69"</w:t>
      </w:r>
      <w:r>
        <w:t xml:space="preserve"> -</w:t>
      </w:r>
      <w:r w:rsidRPr="007463C3">
        <w:rPr>
          <w:lang w:val="id-ID"/>
        </w:rPr>
        <w:t xml:space="preserve"> 123</w:t>
      </w:r>
      <w:r w:rsidRPr="007463C3">
        <w:rPr>
          <w:vertAlign w:val="superscript"/>
          <w:lang w:val="id-ID"/>
        </w:rPr>
        <w:t>o</w:t>
      </w:r>
      <w:r w:rsidRPr="007463C3">
        <w:rPr>
          <w:lang w:val="id-ID"/>
        </w:rPr>
        <w:t>4'48.27" East Longitude. Gorontalo Regency has a total land area of 2</w:t>
      </w:r>
      <w:r>
        <w:t>,</w:t>
      </w:r>
      <w:r w:rsidRPr="007463C3">
        <w:rPr>
          <w:lang w:val="id-ID"/>
        </w:rPr>
        <w:t>159 km</w:t>
      </w:r>
      <w:r w:rsidRPr="007463C3">
        <w:rPr>
          <w:vertAlign w:val="superscript"/>
          <w:lang w:val="id-ID"/>
        </w:rPr>
        <w:t>2</w:t>
      </w:r>
      <w:r w:rsidRPr="007463C3">
        <w:rPr>
          <w:lang w:val="id-ID"/>
        </w:rPr>
        <w:t>. The administrative area of Gorontalo Regency in 202</w:t>
      </w:r>
      <w:r>
        <w:t>0</w:t>
      </w:r>
      <w:r w:rsidRPr="007463C3">
        <w:rPr>
          <w:lang w:val="id-ID"/>
        </w:rPr>
        <w:t xml:space="preserve"> consists of 19 Districts and 205 villages, with Limboto District serving as the capital city.</w:t>
      </w:r>
      <w:r w:rsidRPr="007463C3">
        <w:t xml:space="preserve"> </w:t>
      </w:r>
      <w:r w:rsidRPr="007463C3">
        <w:rPr>
          <w:lang w:val="id-ID"/>
        </w:rPr>
        <w:t>The largest district is Asparaga District, which covers 430.51 km</w:t>
      </w:r>
      <w:r w:rsidRPr="007463C3">
        <w:rPr>
          <w:vertAlign w:val="superscript"/>
          <w:lang w:val="id-ID"/>
        </w:rPr>
        <w:t>2</w:t>
      </w:r>
      <w:r w:rsidRPr="007463C3">
        <w:rPr>
          <w:lang w:val="id-ID"/>
        </w:rPr>
        <w:t xml:space="preserve"> or 20.25 percent of the land area in Gorontalo Regency, while the smallest sub-district is Tilango District, which covers 5.79 km</w:t>
      </w:r>
      <w:r w:rsidRPr="007463C3">
        <w:rPr>
          <w:vertAlign w:val="superscript"/>
          <w:lang w:val="id-ID"/>
        </w:rPr>
        <w:t>2</w:t>
      </w:r>
      <w:r w:rsidRPr="007463C3">
        <w:rPr>
          <w:lang w:val="id-ID"/>
        </w:rPr>
        <w:t xml:space="preserve"> or 0.27 percent of the total area in Gorontalo Regency.</w:t>
      </w:r>
      <w:r w:rsidRPr="007463C3">
        <w:t xml:space="preserve"> </w:t>
      </w:r>
      <w:r w:rsidRPr="007463C3">
        <w:rPr>
          <w:lang w:val="id-ID"/>
        </w:rPr>
        <w:t>North Gorontalo Regency borders the northern part of Gorontalo Regency, Bone Bolango Regency and Gorontalo City border the eastern part, Tomini Bay borders the southern part, and Boalemo Regency borders the western part</w:t>
      </w:r>
      <w:r w:rsidRPr="00170CA1">
        <w:rPr>
          <w:lang w:val="id-ID"/>
        </w:rPr>
        <w:t xml:space="preserve">. </w:t>
      </w:r>
      <w:r w:rsidRPr="007463C3">
        <w:rPr>
          <w:lang w:val="id-ID"/>
        </w:rPr>
        <w:t>The highest temperature in Gorontalo Regency in 2020 was 35.2</w:t>
      </w:r>
      <w:r w:rsidRPr="007463C3">
        <w:rPr>
          <w:vertAlign w:val="superscript"/>
          <w:lang w:val="id-ID"/>
        </w:rPr>
        <w:t>o</w:t>
      </w:r>
      <w:r w:rsidRPr="007463C3">
        <w:rPr>
          <w:lang w:val="id-ID"/>
        </w:rPr>
        <w:t>C in October, while the lowest temperature was 18.8</w:t>
      </w:r>
      <w:r w:rsidRPr="007463C3">
        <w:rPr>
          <w:vertAlign w:val="superscript"/>
          <w:lang w:val="id-ID"/>
        </w:rPr>
        <w:t>o</w:t>
      </w:r>
      <w:r w:rsidRPr="007463C3">
        <w:rPr>
          <w:lang w:val="id-ID"/>
        </w:rPr>
        <w:t>C in September. In March and June, the humidity reaches 9</w:t>
      </w:r>
      <w:r w:rsidR="00D57F12">
        <w:t>7%</w:t>
      </w:r>
      <w:r w:rsidRPr="007463C3">
        <w:rPr>
          <w:lang w:val="id-ID"/>
        </w:rPr>
        <w:t>, while in October, the humidity drops to 65 percent.</w:t>
      </w:r>
      <w:r w:rsidRPr="00170CA1">
        <w:rPr>
          <w:lang w:val="id-ID"/>
        </w:rPr>
        <w:t xml:space="preserve"> </w:t>
      </w:r>
      <w:r w:rsidRPr="007463C3">
        <w:rPr>
          <w:lang w:val="id-ID"/>
        </w:rPr>
        <w:t>The highest duration of exposure was in September, at 79.90%, and the lowest was 45.10%. The wettest month is December, with 27 rainy days.</w:t>
      </w:r>
    </w:p>
    <w:p w14:paraId="40742FBE" w14:textId="0C41D6DC" w:rsidR="005E17F2" w:rsidRPr="003D5B84" w:rsidRDefault="005E17F2" w:rsidP="005E17F2">
      <w:pPr>
        <w:jc w:val="both"/>
        <w:rPr>
          <w:sz w:val="12"/>
          <w:lang w:val="id-ID"/>
        </w:rPr>
      </w:pPr>
      <w:r>
        <w:rPr>
          <w:noProof/>
        </w:rPr>
        <w:lastRenderedPageBreak/>
        <w:drawing>
          <wp:inline distT="0" distB="0" distL="0" distR="0" wp14:anchorId="54DC74F0" wp14:editId="04F969F0">
            <wp:extent cx="5580380" cy="3945615"/>
            <wp:effectExtent l="19050" t="19050" r="20320" b="171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0380" cy="3945615"/>
                    </a:xfrm>
                    <a:prstGeom prst="rect">
                      <a:avLst/>
                    </a:prstGeom>
                    <a:noFill/>
                    <a:ln>
                      <a:solidFill>
                        <a:schemeClr val="bg1"/>
                      </a:solidFill>
                    </a:ln>
                  </pic:spPr>
                </pic:pic>
              </a:graphicData>
            </a:graphic>
          </wp:inline>
        </w:drawing>
      </w:r>
    </w:p>
    <w:p w14:paraId="1A80C0DE" w14:textId="73A435B3" w:rsidR="0088233C" w:rsidRPr="003D5B84" w:rsidRDefault="0088233C" w:rsidP="0088233C">
      <w:pPr>
        <w:jc w:val="center"/>
        <w:rPr>
          <w:b/>
          <w:bCs/>
        </w:rPr>
      </w:pPr>
      <w:r w:rsidRPr="003D5B84">
        <w:rPr>
          <w:lang w:val="id-ID"/>
        </w:rPr>
        <w:t xml:space="preserve">Figure 1. </w:t>
      </w:r>
      <w:r w:rsidR="005E17F2" w:rsidRPr="005E17F2">
        <w:t>Location of the study area</w:t>
      </w:r>
    </w:p>
    <w:p w14:paraId="19E0E783" w14:textId="730B08F1" w:rsidR="005E17F2" w:rsidRDefault="005E17F2" w:rsidP="005E17F2">
      <w:pPr>
        <w:tabs>
          <w:tab w:val="left" w:pos="426"/>
        </w:tabs>
        <w:rPr>
          <w:b/>
          <w:bCs/>
        </w:rPr>
      </w:pPr>
      <w:r>
        <w:rPr>
          <w:b/>
          <w:bCs/>
        </w:rPr>
        <w:t xml:space="preserve">2.2. </w:t>
      </w:r>
      <w:r w:rsidR="00B768AE" w:rsidRPr="00B768AE">
        <w:rPr>
          <w:b/>
          <w:bCs/>
        </w:rPr>
        <w:t xml:space="preserve">Determination of Preliminary List of </w:t>
      </w:r>
      <w:r w:rsidR="00B768AE">
        <w:rPr>
          <w:b/>
          <w:bCs/>
        </w:rPr>
        <w:t>Factor</w:t>
      </w:r>
    </w:p>
    <w:p w14:paraId="65CD1E66" w14:textId="39DA23E5" w:rsidR="005E17F2" w:rsidRPr="005E17F2" w:rsidRDefault="005E17F2" w:rsidP="005E17F2">
      <w:pPr>
        <w:ind w:firstLine="709"/>
        <w:jc w:val="both"/>
        <w:rPr>
          <w:lang w:val="id-ID"/>
        </w:rPr>
      </w:pPr>
      <w:r>
        <w:rPr>
          <w:lang w:val="id-ID"/>
        </w:rPr>
        <w:tab/>
      </w:r>
      <w:r w:rsidRPr="005E17F2">
        <w:rPr>
          <w:lang w:val="id-ID"/>
        </w:rPr>
        <w:t>The DF conditioning factors and their relationship with the DF cases need to be assessed. In order to perform vulnerability analysis the spatial database that  contains DF conditioning factors was prepared and constructed. The selection of the conditioning factors varies form one study area to another based on different characteristics of each place. The selection of factors varies from one study area to the next based on the unique characteristics of each location; it may have no influence in another region. There is no exact agreement on which factors should be used in flood susceptibility assessments. However, some of the variables are commonly used by many researchers, indicating their importance in DF vulnerability. These variables were chosen for the current study based on a field survey and information gleaned from the literature. A total of six conditioning factors were used in DHF vulnerability mapping: population density, distance to the road, radius of health facilities, radius of educational facilities, radius of office area, and land use. Table 6 shows all the conditioning factors and their characteristics. Each factor was converted into a 50 x 50 m grid spatial database, and the grid of the Gorontalo Regency was built with 857,280 grids (214,341.9 ha).</w:t>
      </w:r>
    </w:p>
    <w:p w14:paraId="2A277CC8" w14:textId="60B467E4" w:rsidR="00B0270D" w:rsidRDefault="00B0270D" w:rsidP="00387063">
      <w:pPr>
        <w:ind w:firstLine="709"/>
        <w:jc w:val="both"/>
      </w:pPr>
      <w:r w:rsidRPr="00B0270D">
        <w:t>Rural areas may contribute at least as much to the dissemination of dengue fever as cities</w:t>
      </w:r>
      <w:r>
        <w:t xml:space="preserve"> </w:t>
      </w:r>
      <w:r>
        <w:fldChar w:fldCharType="begin" w:fldLock="1"/>
      </w:r>
      <w:r>
        <w:instrText>ADDIN CSL_CITATION {"citationItems":[{"id":"ITEM-1","itemData":{"DOI":"10.1371/journal.pmed.1001082","ISSN":"15491277","PMID":"21918642","abstract":"Background: Aedes aegypti, the major vector of dengue viruses, often breeds in water storage containers used by households without tap water supply, and occurs in high numbers even in dense urban areas. We analysed the interaction between human population density and lack of tap water as a cause of dengue fever outbreaks with the aim of identifying geographic areas at highest risk. Methods and Findings: We conducted an individual-level cohort study in a population of 75,000 geo-referenced households in Vietnam over the course of two epidemics, on the basis of dengue hospital admissions (n = 3,013). We applied space-time scan statistics and mathematical models to confirm the findings. We identified a surprisingly narrow range of critical human population densities between around 3,000 to 7,000 people/km2 prone to dengue outbreaks. In the study area, this population density was typical of villages and some peri-urban areas. Scan statistics showed that areas with a high population density or adequate water supply did not experience severe outbreaks. The risk of dengue was higher in rural than in urban areas, largely explained by lack of piped water supply, and in human population densities more often falling within the critical range. Mathematical modeling suggests that simple assumptions regarding area-level vector/host ratios may explain the occurrence of outbreaks. Conclusions: Rural areas may contribute at least as much to the dissemination of dengue fever as cities. Improving water supply and vector control in areas with a human population density critical for dengue transmission could increase the efficiency of control efforts. Please see later in the article for the Editors' Summary. © 2011 Schmidt et al.","author":[{"dropping-particle":"","family":"Schmidt","given":"W.P.","non-dropping-particle":"","parse-names":false,"suffix":""},{"dropping-particle":"","family":"Suzuki","given":"M.","non-dropping-particle":"","parse-names":false,"suffix":""},{"dropping-particle":"","family":"Thiem","given":"V.","non-dropping-particle":"","parse-names":false,"suffix":""},{"dropping-particle":"","family":"White","given":"R.G.","non-dropping-particle":"","parse-names":false,"suffix":""},{"dropping-particle":"","family":"Tsuzuki","given":"A.","non-dropping-particle":"","parse-names":false,"suffix":""},{"dropping-particle":"","family":"Yoshida","given":"L.M.","non-dropping-particle":"","parse-names":false,"suffix":""},{"dropping-particle":"","family":"Yanai","given":"H.","non-dropping-particle":"","parse-names":false,"suffix":""},{"dropping-particle":"","family":"Haque","given":"U.","non-dropping-particle":"","parse-names":false,"suffix":""},{"dropping-particle":"","family":"Tho","given":"L.","non-dropping-particle":"","parse-names":false,"suffix":""},{"dropping-particle":"","family":"Anh","given":"D.D.","non-dropping-particle":"","parse-names":false,"suffix":""},{"dropping-particle":"","family":"Ariyoshi","given":"K.","non-dropping-particle":"","parse-names":false,"suffix":""}],"container-title":"PLoS Medicine","id":"ITEM-1","issue":"8","issued":{"date-parts":[["2011"]]},"page":"1-10","title":"Population density, water supply, and the risk of dengue fever in vietnam: Cohort study and spatial analysis","type":"article-journal","volume":"8"},"uris":["http://www.mendeley.com/documents/?uuid=4598e4c6-32d4-422c-8cba-f131e644f852"]}],"mendeley":{"formattedCitation":"[18]","plainTextFormattedCitation":"[18]","previouslyFormattedCitation":"[18]"},"properties":{"noteIndex":0},"schema":"https://github.com/citation-style-language/schema/raw/master/csl-citation.json"}</w:instrText>
      </w:r>
      <w:r>
        <w:fldChar w:fldCharType="separate"/>
      </w:r>
      <w:r w:rsidRPr="00B0270D">
        <w:rPr>
          <w:noProof/>
        </w:rPr>
        <w:t>[18]</w:t>
      </w:r>
      <w:r>
        <w:fldChar w:fldCharType="end"/>
      </w:r>
      <w:r w:rsidRPr="00B0270D">
        <w:t>.</w:t>
      </w:r>
      <w:r>
        <w:t xml:space="preserve"> </w:t>
      </w:r>
      <w:r w:rsidRPr="00B0270D">
        <w:t>intervention measures in areas with a human population density critical for dengue virus transmission could increase the efficiency of vector control, especially since population density figures are relatively easy to obtain</w:t>
      </w:r>
      <w:r>
        <w:t xml:space="preserve"> </w:t>
      </w:r>
      <w:r>
        <w:fldChar w:fldCharType="begin" w:fldLock="1"/>
      </w:r>
      <w:r>
        <w:instrText>ADDIN CSL_CITATION {"citationItems":[{"id":"ITEM-1","itemData":{"DOI":"10.1371/journal.pmed.1001082","ISSN":"15491277","PMID":"21918642","abstract":"Background: Aedes aegypti, the major vector of dengue viruses, often breeds in water storage containers used by households without tap water supply, and occurs in high numbers even in dense urban areas. We analysed the interaction between human population density and lack of tap water as a cause of dengue fever outbreaks with the aim of identifying geographic areas at highest risk. Methods and Findings: We conducted an individual-level cohort study in a population of 75,000 geo-referenced households in Vietnam over the course of two epidemics, on the basis of dengue hospital admissions (n = 3,013). We applied space-time scan statistics and mathematical models to confirm the findings. We identified a surprisingly narrow range of critical human population densities between around 3,000 to 7,000 people/km2 prone to dengue outbreaks. In the study area, this population density was typical of villages and some peri-urban areas. Scan statistics showed that areas with a high population density or adequate water supply did not experience severe outbreaks. The risk of dengue was higher in rural than in urban areas, largely explained by lack of piped water supply, and in human population densities more often falling within the critical range. Mathematical modeling suggests that simple assumptions regarding area-level vector/host ratios may explain the occurrence of outbreaks. Conclusions: Rural areas may contribute at least as much to the dissemination of dengue fever as cities. Improving water supply and vector control in areas with a human population density critical for dengue transmission could increase the efficiency of control efforts. Please see later in the article for the Editors' Summary. © 2011 Schmidt et al.","author":[{"dropping-particle":"","family":"Schmidt","given":"W.P.","non-dropping-particle":"","parse-names":false,"suffix":""},{"dropping-particle":"","family":"Suzuki","given":"M.","non-dropping-particle":"","parse-names":false,"suffix":""},{"dropping-particle":"","family":"Thiem","given":"V.","non-dropping-particle":"","parse-names":false,"suffix":""},{"dropping-particle":"","family":"White","given":"R.G.","non-dropping-particle":"","parse-names":false,"suffix":""},{"dropping-particle":"","family":"Tsuzuki","given":"A.","non-dropping-particle":"","parse-names":false,"suffix":""},{"dropping-particle":"","family":"Yoshida","given":"L.M.","non-dropping-particle":"","parse-names":false,"suffix":""},{"dropping-particle":"","family":"Yanai","given":"H.","non-dropping-particle":"","parse-names":false,"suffix":""},{"dropping-particle":"","family":"Haque","given":"U.","non-dropping-particle":"","parse-names":false,"suffix":""},{"dropping-particle":"","family":"Tho","given":"L.","non-dropping-particle":"","parse-names":false,"suffix":""},{"dropping-particle":"","family":"Anh","given":"D.D.","non-dropping-particle":"","parse-names":false,"suffix":""},{"dropping-particle":"","family":"Ariyoshi","given":"K.","non-dropping-particle":"","parse-names":false,"suffix":""}],"container-title":"PLoS Medicine","id":"ITEM-1","issue":"8","issued":{"date-parts":[["2011"]]},"page":"1-10","title":"Population density, water supply, and the risk of dengue fever in vietnam: Cohort study and spatial analysis","type":"article-journal","volume":"8"},"uris":["http://www.mendeley.com/documents/?uuid=4598e4c6-32d4-422c-8cba-f131e644f852"]}],"mendeley":{"formattedCitation":"[18]","plainTextFormattedCitation":"[18]","previouslyFormattedCitation":"[18]"},"properties":{"noteIndex":0},"schema":"https://github.com/citation-style-language/schema/raw/master/csl-citation.json"}</w:instrText>
      </w:r>
      <w:r>
        <w:fldChar w:fldCharType="separate"/>
      </w:r>
      <w:r w:rsidRPr="00B0270D">
        <w:rPr>
          <w:noProof/>
        </w:rPr>
        <w:t>[18]</w:t>
      </w:r>
      <w:r>
        <w:fldChar w:fldCharType="end"/>
      </w:r>
      <w:r>
        <w:t xml:space="preserve">. In this study population density </w:t>
      </w:r>
      <w:proofErr w:type="spellStart"/>
      <w:r>
        <w:t>devided</w:t>
      </w:r>
      <w:proofErr w:type="spellEnd"/>
      <w:r>
        <w:t xml:space="preserve"> into three classes </w:t>
      </w:r>
      <w:proofErr w:type="gramStart"/>
      <w:r>
        <w:t>i.e.</w:t>
      </w:r>
      <w:proofErr w:type="gramEnd"/>
      <w:r>
        <w:t xml:space="preserve"> &gt;1,000 person/km</w:t>
      </w:r>
      <w:r w:rsidRPr="00B0270D">
        <w:rPr>
          <w:vertAlign w:val="superscript"/>
        </w:rPr>
        <w:t>2</w:t>
      </w:r>
      <w:r w:rsidR="00B768AE">
        <w:t>;</w:t>
      </w:r>
      <w:r>
        <w:t xml:space="preserve"> 500 - 1,000 person/km</w:t>
      </w:r>
      <w:r w:rsidRPr="00B0270D">
        <w:rPr>
          <w:vertAlign w:val="superscript"/>
        </w:rPr>
        <w:t>2</w:t>
      </w:r>
      <w:r w:rsidR="00B768AE">
        <w:t>;</w:t>
      </w:r>
      <w:r>
        <w:t xml:space="preserve"> and &lt;500 person/km</w:t>
      </w:r>
      <w:r w:rsidRPr="00B0270D">
        <w:rPr>
          <w:vertAlign w:val="superscript"/>
        </w:rPr>
        <w:t>2</w:t>
      </w:r>
      <w:r>
        <w:rPr>
          <w:vertAlign w:val="superscript"/>
        </w:rPr>
        <w:t xml:space="preserve"> </w:t>
      </w:r>
      <w:r w:rsidRPr="00B0270D">
        <w:t>(Table 6</w:t>
      </w:r>
      <w:r w:rsidR="00B768AE">
        <w:t xml:space="preserve"> and Fig. 2</w:t>
      </w:r>
      <w:r w:rsidRPr="00B0270D">
        <w:t>).</w:t>
      </w:r>
      <w:r>
        <w:t xml:space="preserve"> Relation between DF cases with population density was DHF cases (r) is 0.891, while the Sig. (2-tailed) &lt; 0.05, so the incidence of DHF cases is significant </w:t>
      </w:r>
      <w:r>
        <w:fldChar w:fldCharType="begin" w:fldLock="1"/>
      </w:r>
      <w:r w:rsidR="00B768AE">
        <w:instrText>ADDIN CSL_CITATION {"citationItems":[{"id":"ITEM-1","itemData":{"DOI":"10.15294/jpii.v9i1.21811","ISSN":"20894392","abstract":"The purpose of the study was to know the relationship of population density with DHF cases and determine the fluctuation in dengue fever cases in the Hulu Sungai Selatan Regency in 2008-2014. The population in this study was all DHF cases had recorded by the Public Health Office of Hulu Sungai Selatan Regency in 2014-2018, obtained from DHF cases data and population density data. The data were analyzed using spatial analysis with ArcGIS and linear correlation analysis. The results showed the highest average DHF cases is in Kandangan Sub-district with 471 cases in 2014-2018. The study showed the relation betweenDHF cases with population density was DHF cases (r) is 0.891, while the Sig. (2-tailed) &lt; 0.05, so the incidence of DHF cases is significant. Spatial analysis showed that the highest DHF cases happened in the area with a high population density. The use of Geographic Information Systems is expected to facilitate government in reduce cases of DHF in Hulu Sungai Selatan Regency. The preventions that can be made are eradication of mosquito nests, periodic larvae checks, and health education so that dengue fever cases can decrease especially in densely populated areas and special education for DHF in schools. This research also can be used as a reference for better regular preventive counseling models by health workers in communities such as government agencies, regional residents and schools.","author":[{"dropping-particle":"","family":"Kusairi","given":"A.","non-dropping-particle":"","parse-names":false,"suffix":""},{"dropping-particle":"","family":"Yulia","given":"R.","non-dropping-particle":"","parse-names":false,"suffix":""}],"container-title":"Jurnal Pendidikan IPA Indonesia","id":"ITEM-1","issue":"1","issued":{"date-parts":[["2020"]]},"page":"91-96","title":"Mapping of dengue fever distribution based on indonesian national standard cartography rules as an prevention indicator of outbreaks","type":"article-journal","volume":"9"},"uris":["http://www.mendeley.com/documents/?uuid=2dbbeefb-6d5a-47ef-82f4-2de4db816914"]}],"mendeley":{"formattedCitation":"[19]","plainTextFormattedCitation":"[19]","previouslyFormattedCitation":"[19]"},"properties":{"noteIndex":0},"schema":"https://github.com/citation-style-language/schema/raw/master/csl-citation.json"}</w:instrText>
      </w:r>
      <w:r>
        <w:fldChar w:fldCharType="separate"/>
      </w:r>
      <w:r w:rsidRPr="00B0270D">
        <w:rPr>
          <w:noProof/>
        </w:rPr>
        <w:t>[19]</w:t>
      </w:r>
      <w:r>
        <w:fldChar w:fldCharType="end"/>
      </w:r>
      <w:r>
        <w:t>.</w:t>
      </w:r>
    </w:p>
    <w:p w14:paraId="04027DFC" w14:textId="56D51AC8" w:rsidR="00B768AE" w:rsidRPr="00B0270D" w:rsidRDefault="00B768AE" w:rsidP="00387063">
      <w:pPr>
        <w:ind w:firstLine="709"/>
        <w:jc w:val="both"/>
      </w:pPr>
      <w:r>
        <w:t xml:space="preserve">The </w:t>
      </w:r>
      <w:r w:rsidRPr="00B768AE">
        <w:t>Public facilities</w:t>
      </w:r>
      <w:r>
        <w:t xml:space="preserve"> (i.e. school, road and office)</w:t>
      </w:r>
      <w:r w:rsidRPr="00B768AE">
        <w:t xml:space="preserve"> cause mosquito breeding sites to increase and human interaction to increase.</w:t>
      </w:r>
      <w:r>
        <w:t xml:space="preserve"> </w:t>
      </w:r>
      <w:r>
        <w:fldChar w:fldCharType="begin" w:fldLock="1"/>
      </w:r>
      <w:r>
        <w:instrText>ADDIN CSL_CITATION {"citationItems":[{"id":"ITEM-1","itemData":{"ISSN":"1020895X","abstract":"A survey on container breeding sites of Aedes spp. and Culex spp. larvae was conducted in the campus of the University of Malaya, Kuala Lumpur. Sampling was carried out by dipping using pipette or dipper depending on container types. All breeding sources of mosquito larvae were grouped into eight different container types: plastic container, plastic pail, bottle, earthen plate, natural container, vase, can and concrete tank. A total of 262 containers were identified as potential breeding sites. However, only 65 containers (86.15% outdoors and 13.85% indoors) were found containing larvae. Among all types of containers, 50.00% of the total surveyed natural containers were positive with mosquito larvae, followed by plastic containers (32.77%), plastic pails (23.81%), concrete tanks (20.00%), vases (18.75%), bottles (14.71%), cans (13.33%) and earthen plates (11.90%). The collected mosquito larvae were those of Aedes albopictus (86.96%), Aedes niveus group (5.80%) and Culex quinquefasciatus (7.24%). No Aedes aegypti was found in any container in the study site. This study indicated that Ae. albopictus was capable of breeding in a wide range of container types. To control these mosquitoes, the elimination of artificial and natural containers or alteration of breeding sites in and around the campus areas should be taken into consideration. Towards this goal, the university management should practise Integrated Vector Management (IVM) in the campus.","author":[{"dropping-particle":"","family":"Chen","given":"C. D.","non-dropping-particle":"","parse-names":false,"suffix":""},{"dropping-particle":"","family":"Lee","given":"H. L.","non-dropping-particle":"","parse-names":false,"suffix":""},{"dropping-particle":"","family":"Stella-Wong","given":"S. P.","non-dropping-particle":"","parse-names":false,"suffix":""},{"dropping-particle":"","family":"Lau","given":"K. W.","non-dropping-particle":"","parse-names":false,"suffix":""},{"dropping-particle":"","family":"Sofian-Azirun","given":"M.","non-dropping-particle":"","parse-names":false,"suffix":""}],"container-title":"Dengue Bulletin","id":"ITEM-1","issue":"1","issued":{"date-parts":[["2009"]]},"page":"187-193","title":"Container survey of mosquito breeding sites in a university campus in Kuala Lumpur, Malaysia","type":"article-journal","volume":"33"},"uris":["http://www.mendeley.com/documents/?uuid=7a25be4e-14aa-4dbe-adf5-21551be07c64"]}],"mendeley":{"formattedCitation":"[20]","manualFormatting":"Chen et al. (2009","plainTextFormattedCitation":"[20]","previouslyFormattedCitation":"[20]"},"properties":{"noteIndex":0},"schema":"https://github.com/citation-style-language/schema/raw/master/csl-citation.json"}</w:instrText>
      </w:r>
      <w:r>
        <w:fldChar w:fldCharType="separate"/>
      </w:r>
      <w:r>
        <w:rPr>
          <w:noProof/>
        </w:rPr>
        <w:t>Chen et al. (2009</w:t>
      </w:r>
      <w:r>
        <w:fldChar w:fldCharType="end"/>
      </w:r>
      <w:r>
        <w:t xml:space="preserve">) </w:t>
      </w:r>
      <w:r w:rsidRPr="00B768AE">
        <w:t>surveyed on container breeding sites of Aedes spp. and Culex spp. larvae was conducted in the campus of the University of Malaya, Kuala Lumpur</w:t>
      </w:r>
      <w:r>
        <w:t xml:space="preserve"> and found </w:t>
      </w:r>
      <w:r w:rsidRPr="00B768AE">
        <w:t>50.00% of the total surveyed natural containers were positive with mosquito larvae, followed by plastic containers (32.77%), plastic pails (23.81%), concrete tanks (20.00%), vases (18.75%), bottles (14.71%), cans (13.33%) and earthen plates (11.90%)</w:t>
      </w:r>
      <w:r>
        <w:t xml:space="preserve">. </w:t>
      </w:r>
      <w:r w:rsidRPr="00B768AE">
        <w:t>To control these mosquitoes, the elimination of artificial and natural containers, as well as the modification of breeding sites in and around public facilities, should be considered</w:t>
      </w:r>
      <w:r>
        <w:t xml:space="preserve"> </w:t>
      </w:r>
      <w:r>
        <w:fldChar w:fldCharType="begin" w:fldLock="1"/>
      </w:r>
      <w:r>
        <w:instrText>ADDIN CSL_CITATION {"citationItems":[{"id":"ITEM-1","itemData":{"ISSN":"1020895X","abstract":"A survey on container breeding sites of Aedes spp. and Culex spp. larvae was conducted in the campus of the University of Malaya, Kuala Lumpur. Sampling was carried out by dipping using pipette or dipper depending on container types. All breeding sources of mosquito larvae were grouped into eight different container types: plastic container, plastic pail, bottle, earthen plate, natural container, vase, can and concrete tank. A total of 262 containers were identified as potential breeding sites. However, only 65 containers (86.15% outdoors and 13.85% indoors) were found containing larvae. Among all types of containers, 50.00% of the total surveyed natural containers were positive with mosquito larvae, followed by plastic containers (32.77%), plastic pails (23.81%), concrete tanks (20.00%), vases (18.75%), bottles (14.71%), cans (13.33%) and earthen plates (11.90%). The collected mosquito larvae were those of Aedes albopictus (86.96%), Aedes niveus group (5.80%) and Culex quinquefasciatus (7.24%). No Aedes aegypti was found in any container in the study site. This study indicated that Ae. albopictus was capable of breeding in a wide range of container types. To control these mosquitoes, the elimination of artificial and natural containers or alteration of breeding sites in and around the campus areas should be taken into consideration. Towards this goal, the university management should practise Integrated Vector Management (IVM) in the campus.","author":[{"dropping-particle":"","family":"Chen","given":"C. D.","non-dropping-particle":"","parse-names":false,"suffix":""},{"dropping-particle":"","family":"Lee","given":"H. L.","non-dropping-particle":"","parse-names":false,"suffix":""},{"dropping-particle":"","family":"Stella-Wong","given":"S. P.","non-dropping-particle":"","parse-names":false,"suffix":""},{"dropping-particle":"","family":"Lau","given":"K. W.","non-dropping-particle":"","parse-names":false,"suffix":""},{"dropping-particle":"","family":"Sofian-Azirun","given":"M.","non-dropping-particle":"","parse-names":false,"suffix":""}],"container-title":"Dengue Bulletin","id":"ITEM-1","issue":"1","issued":{"date-parts":[["2009"]]},"page":"187-193","title":"Container survey of mosquito breeding sites in a university campus in Kuala Lumpur, Malaysia","type":"article-journal","volume":"33"},"uris":["http://www.mendeley.com/documents/?uuid=7a25be4e-14aa-4dbe-adf5-21551be07c64"]}],"mendeley":{"formattedCitation":"[20]","plainTextFormattedCitation":"[20]","previouslyFormattedCitation":"[20]"},"properties":{"noteIndex":0},"schema":"https://github.com/citation-style-language/schema/raw/master/csl-citation.json"}</w:instrText>
      </w:r>
      <w:r>
        <w:fldChar w:fldCharType="separate"/>
      </w:r>
      <w:r w:rsidRPr="00B768AE">
        <w:rPr>
          <w:noProof/>
        </w:rPr>
        <w:t>[20]</w:t>
      </w:r>
      <w:r>
        <w:fldChar w:fldCharType="end"/>
      </w:r>
      <w:r>
        <w:t xml:space="preserve">. </w:t>
      </w:r>
      <w:r>
        <w:fldChar w:fldCharType="begin" w:fldLock="1"/>
      </w:r>
      <w:r>
        <w:instrText>ADDIN CSL_CITATION {"citationItems":[{"id":"ITEM-1","itemData":{"DOI":"10.1016/j.actatropica.2012.05.001","ISSN":"0001706X","PMID":"22609547","abstract":"This study examined the impact of road networks on the distribution of dengue fever cases in Trinidad, West Indies. All confirmed cases of dengue hemorrhagic fever (DHF) observed during 1998 were georeferenced and spatially located on a road map of Trinidad using Geographic Information Systems software. A new digital geographic layer representing these cases was created and the distances from these cases to the nearest classified road category (5 classifications based on a functional utility system) were examined. The distance from each spatially located DHF case to the nearest road in each of the 5 road subsets was determined and then subjected to an ANOVA and . t-test to determine levels of association between minor road networks (especially 3rd and 4th class roads) and DHF cases and found DHF cases were located away from forests, especially 5th class roads). The frequency of DHF cases to different road classes was: 0% (1st class roads), 7% (2nd class roads), 32% (3rd class roads), 57% (4th class roads) and 4% (5th class road). The data clearly demonstrated that both class 3 and class 4 roads account for 89% of nearby dengue cases. These results represent the first evidence of dengue cases being found restricted between forested areas and major highways and would be useful when planning and implementing control strategies for dengue and . Aedes aegypti mosquitoes. © 2012 Elsevier B.V..","author":[{"dropping-particle":"","family":"Mahabir","given":"R. S.","non-dropping-particle":"","parse-names":false,"suffix":""},{"dropping-particle":"","family":"Severson","given":"D. W.","non-dropping-particle":"","parse-names":false,"suffix":""},{"dropping-particle":"","family":"Chadee","given":"D. D.","non-dropping-particle":"","parse-names":false,"suffix":""}],"container-title":"Acta Tropica","id":"ITEM-1","issue":"3","issued":{"date-parts":[["2012"]]},"page":"178-183","publisher":"Elsevier B.V.","title":"Impact of road networks on the distribution of dengue fever cases in Trinidad, West Indies","type":"article-journal","volume":"123"},"uris":["http://www.mendeley.com/documents/?uuid=0828419f-76be-4cbf-8f33-7b224efb56ba"]}],"mendeley":{"formattedCitation":"[21]","manualFormatting":"Mahabis et al. (2012)","plainTextFormattedCitation":"[21]","previouslyFormattedCitation":"[21]"},"properties":{"noteIndex":0},"schema":"https://github.com/citation-style-language/schema/raw/master/csl-citation.json"}</w:instrText>
      </w:r>
      <w:r>
        <w:fldChar w:fldCharType="separate"/>
      </w:r>
      <w:r>
        <w:rPr>
          <w:noProof/>
        </w:rPr>
        <w:t>Mahabis et al. (2012)</w:t>
      </w:r>
      <w:r>
        <w:fldChar w:fldCharType="end"/>
      </w:r>
      <w:r>
        <w:t xml:space="preserve"> stated </w:t>
      </w:r>
      <w:r w:rsidRPr="00B768AE">
        <w:t>there is a relationship between the road and the incidence of dengue</w:t>
      </w:r>
      <w:r>
        <w:t>. T</w:t>
      </w:r>
      <w:r w:rsidRPr="00B768AE">
        <w:t>he major motorways may form major ‘barriers’ to the flying mosquitoes because the volume of traffic is greater on these roads and especially during blood feeding periods for mosquitoes (early morning and later evening) since these usually coincide with journeys to and from work.</w:t>
      </w:r>
      <w:r>
        <w:t xml:space="preserve"> </w:t>
      </w:r>
      <w:r w:rsidRPr="00B768AE">
        <w:t xml:space="preserve">The foraging mosquitoes' flight speed allows them to succumb to the traveling velocity of vehicles at this time. In addition, the width of major roads increases the likelihood of being caught </w:t>
      </w:r>
      <w:r w:rsidRPr="00B768AE">
        <w:lastRenderedPageBreak/>
        <w:t>in a vehicle's "wind tunnel." Minor highways, on the other hand, typically have a lower volume of traffic and narrower widths.</w:t>
      </w:r>
      <w:r>
        <w:t xml:space="preserve"> </w:t>
      </w:r>
      <w:r w:rsidRPr="00B768AE">
        <w:t>This general pattern is reflected in the findings, with an increase in the number of dengue cases occurring closer to minor class roads</w:t>
      </w:r>
      <w:r>
        <w:t xml:space="preserve"> </w:t>
      </w:r>
      <w:r>
        <w:fldChar w:fldCharType="begin" w:fldLock="1"/>
      </w:r>
      <w:r>
        <w:instrText>ADDIN CSL_CITATION {"citationItems":[{"id":"ITEM-1","itemData":{"DOI":"10.1016/j.actatropica.2012.05.001","ISSN":"0001706X","PMID":"22609547","abstract":"This study examined the impact of road networks on the distribution of dengue fever cases in Trinidad, West Indies. All confirmed cases of dengue hemorrhagic fever (DHF) observed during 1998 were georeferenced and spatially located on a road map of Trinidad using Geographic Information Systems software. A new digital geographic layer representing these cases was created and the distances from these cases to the nearest classified road category (5 classifications based on a functional utility system) were examined. The distance from each spatially located DHF case to the nearest road in each of the 5 road subsets was determined and then subjected to an ANOVA and . t-test to determine levels of association between minor road networks (especially 3rd and 4th class roads) and DHF cases and found DHF cases were located away from forests, especially 5th class roads). The frequency of DHF cases to different road classes was: 0% (1st class roads), 7% (2nd class roads), 32% (3rd class roads), 57% (4th class roads) and 4% (5th class road). The data clearly demonstrated that both class 3 and class 4 roads account for 89% of nearby dengue cases. These results represent the first evidence of dengue cases being found restricted between forested areas and major highways and would be useful when planning and implementing control strategies for dengue and . Aedes aegypti mosquitoes. © 2012 Elsevier B.V..","author":[{"dropping-particle":"","family":"Mahabir","given":"R. S.","non-dropping-particle":"","parse-names":false,"suffix":""},{"dropping-particle":"","family":"Severson","given":"D. W.","non-dropping-particle":"","parse-names":false,"suffix":""},{"dropping-particle":"","family":"Chadee","given":"D. D.","non-dropping-particle":"","parse-names":false,"suffix":""}],"container-title":"Acta Tropica","id":"ITEM-1","issue":"3","issued":{"date-parts":[["2012"]]},"page":"178-183","publisher":"Elsevier B.V.","title":"Impact of road networks on the distribution of dengue fever cases in Trinidad, West Indies","type":"article-journal","volume":"123"},"uris":["http://www.mendeley.com/documents/?uuid=0828419f-76be-4cbf-8f33-7b224efb56ba"]}],"mendeley":{"formattedCitation":"[21]","plainTextFormattedCitation":"[21]","previouslyFormattedCitation":"[21]"},"properties":{"noteIndex":0},"schema":"https://github.com/citation-style-language/schema/raw/master/csl-citation.json"}</w:instrText>
      </w:r>
      <w:r>
        <w:fldChar w:fldCharType="separate"/>
      </w:r>
      <w:r w:rsidRPr="00B768AE">
        <w:rPr>
          <w:noProof/>
        </w:rPr>
        <w:t>[21]</w:t>
      </w:r>
      <w:r>
        <w:fldChar w:fldCharType="end"/>
      </w:r>
      <w:r>
        <w:t xml:space="preserve">. </w:t>
      </w:r>
      <w:r>
        <w:fldChar w:fldCharType="begin" w:fldLock="1"/>
      </w:r>
      <w:r>
        <w:instrText>ADDIN CSL_CITATION {"citationItems":[{"id":"ITEM-1","itemData":{"DOI":"10.1371/journal.pntd.0009139","ISBN":"1111111111","ISSN":"19352735","PMID":"33635860","abstract":"Dengue is endemic in tropical and subtropical countries and is transmitted mainly by Aedes aegypti. Mosquito movement can be affected by human-made structures such as roads that can act as a barrier. Roads can influence the population genetic structure of Ae. aegypti. We investigated the genetic structure and gene flow of Ae. aegypti as influenced by a primary road, España Boulevard (EB) with 2000-meter-long stretch and 24-meters-wide in a very fine spatial scale. We hypothesized that Ae. aegypti populations separated by EB will be different due to the limited gene flow as caused by the barrier effect of the road. A total of 359 adults and 17 larvae Ae. aegypti were collected from June to September 2017 in 13 sites across EB. North (N1-N8) and South (S1-S5) comprised of 211 and 165 individuals, respec-tively. All mosquitoes were genotyped at 11 microsatellite loci. AMOVA FST indicated signifi-cant genetic differentiation across the road. The constructed UPGMA dendrogram found 3 genetic groups revealing the clear separation between North and South sites across the road. On the other hand, Bayesian cluster analysis showed four genetic clusters (K = 4) wherein each individual samples have no distinct genetic cluster thus genetic admixture. Our results suggest that human-made landscape features such as primary roads are potential barriers to mosquito movement thereby limiting its gene flow across the road. This information is valuable in designing an effective mosquito control program in a very fine spatial scale.","author":[{"dropping-particle":"","family":"Regilme","given":"M.A.F.","non-dropping-particle":"","parse-names":false,"suffix":""},{"dropping-particle":"","family":"Carvajal","given":"T.M.","non-dropping-particle":"","parse-names":false,"suffix":""},{"dropping-particle":"","family":"Honnen","given":"A.","non-dropping-particle":"","parse-names":false,"suffix":""},{"dropping-particle":"","family":"Amalin","given":"D.M.","non-dropping-particle":"","parse-names":false,"suffix":""},{"dropping-particle":"","family":"Watanabeid","given":"K.","non-dropping-particle":"","parse-names":false,"suffix":""}],"container-title":"PLoS Neglected Tropical Diseases","id":"ITEM-1","issue":"2","issued":{"date-parts":[["2021"]]},"page":"1-14","title":"The influence of roads on the fine-scale population genetic structure of the dengue vector aedes aegypti (Linnaeus)","type":"article-journal","volume":"15"},"uris":["http://www.mendeley.com/documents/?uuid=36a8eef9-b602-45f5-92b7-d470384dac65"]}],"mendeley":{"formattedCitation":"[22]","manualFormatting":"Regilme, et.al (2021)","plainTextFormattedCitation":"[22]"},"properties":{"noteIndex":0},"schema":"https://github.com/citation-style-language/schema/raw/master/csl-citation.json"}</w:instrText>
      </w:r>
      <w:r>
        <w:fldChar w:fldCharType="separate"/>
      </w:r>
      <w:r>
        <w:rPr>
          <w:noProof/>
        </w:rPr>
        <w:t>Regilme, et.al (2021)</w:t>
      </w:r>
      <w:r>
        <w:fldChar w:fldCharType="end"/>
      </w:r>
      <w:r>
        <w:t xml:space="preserve"> </w:t>
      </w:r>
      <w:r w:rsidRPr="00B768AE">
        <w:t>suggest</w:t>
      </w:r>
      <w:r>
        <w:t>ed</w:t>
      </w:r>
      <w:r w:rsidRPr="00B768AE">
        <w:t xml:space="preserve"> that human-made landscape features such as primary roads are potential barriers to mosquito movement thereby limiting its gene flow across the road</w:t>
      </w:r>
      <w:r>
        <w:t>.</w:t>
      </w:r>
    </w:p>
    <w:p w14:paraId="097043C4" w14:textId="50EB2235" w:rsidR="00B768AE" w:rsidRPr="00B768AE" w:rsidRDefault="00B768AE" w:rsidP="00B768AE">
      <w:pPr>
        <w:jc w:val="both"/>
      </w:pPr>
      <w:r>
        <w:tab/>
      </w:r>
      <w:r>
        <w:fldChar w:fldCharType="begin" w:fldLock="1"/>
      </w:r>
      <w:r>
        <w:instrText>ADDIN CSL_CITATION {"citationItems":[{"id":"ITEM-1","itemData":{"DOI":"10.1186/s13104-019-4379-9","ISSN":"17560500","PMID":"31221186","abstract":"Objective: To provide a national incidence rate and case fatality rate of dengue hemorrhagic fever in Indonesia through an analysis of the National Disease Surveillance database from the Directorate General of Disease Prevention and Control of Ministry of Health. Results: Available data has indicated an increasing trend of dengue hemorrhagic fever incidence in Indonesia over the past 50 years. Incidence rates appear to be cyclic, peaking approximately every 6-8 years. In contrast, the case fatality rate has decreased approximately by half each decade, since 1980. Java Island contributed the highest average number of dengue hemorrhagic fever cases each year. In recent years, Bali and Borneo (Kalimantan) have had the highest incidence while Papua Island, the easternmost region of the Indonesian archipelago, has had the lowest incidence.","author":[{"dropping-particle":"","family":"Harapan","given":"H.","non-dropping-particle":"","parse-names":false,"suffix":""},{"dropping-particle":"","family":"Michie","given":"A.","non-dropping-particle":"","parse-names":false,"suffix":""},{"dropping-particle":"","family":"Mudatsir","given":"M.","non-dropping-particle":"","parse-names":false,"suffix":""},{"dropping-particle":"","family":"Sasmono","given":"R.T.","non-dropping-particle":"","parse-names":false,"suffix":""},{"dropping-particle":"","family":"Imrie","given":"A.","non-dropping-particle":"","parse-names":false,"suffix":""}],"container-title":"BMC Research Notes","id":"ITEM-1","issue":"1","issued":{"date-parts":[["2019"]]},"page":"4-9","publisher":"BioMed Central","title":"Epidemiology of dengue hemorrhagic fever in Indonesia: Analysis of five decades data from the National Disease Surveillance","type":"article-journal","volume":"12"},"uris":["http://www.mendeley.com/documents/?uuid=48f38d72-1671-46db-b5ff-7691a0c0b7ea"]}],"mendeley":{"formattedCitation":"[23]","manualFormatting":"Harapan, et al. (2019","plainTextFormattedCitation":"[23]","previouslyFormattedCitation":"[22]"},"properties":{"noteIndex":0},"schema":"https://github.com/citation-style-language/schema/raw/master/csl-citation.json"}</w:instrText>
      </w:r>
      <w:r>
        <w:fldChar w:fldCharType="separate"/>
      </w:r>
      <w:r>
        <w:rPr>
          <w:noProof/>
        </w:rPr>
        <w:t>Harapan, et al. (2019</w:t>
      </w:r>
      <w:r>
        <w:fldChar w:fldCharType="end"/>
      </w:r>
      <w:r>
        <w:t xml:space="preserve">) stated DF cases correlate by health facilities. First, </w:t>
      </w:r>
      <w:r w:rsidRPr="00B768AE">
        <w:t xml:space="preserve">this decline was associated with improved management protocols of the diseases in the Community Health </w:t>
      </w:r>
      <w:proofErr w:type="spellStart"/>
      <w:r w:rsidRPr="00B768AE">
        <w:t>Centres</w:t>
      </w:r>
      <w:proofErr w:type="spellEnd"/>
      <w:r w:rsidRPr="00B768AE">
        <w:t xml:space="preserve"> or hospitals. Second, this was associated with increased knowledge and awareness both of community members and healthcare providers, and better diagnostics including more sensitive and specific diagnostic tests</w:t>
      </w:r>
      <w:r>
        <w:t xml:space="preserve"> </w:t>
      </w:r>
      <w:r>
        <w:fldChar w:fldCharType="begin" w:fldLock="1"/>
      </w:r>
      <w:r>
        <w:instrText>ADDIN CSL_CITATION {"citationItems":[{"id":"ITEM-1","itemData":{"DOI":"10.1186/s13104-019-4379-9","ISSN":"17560500","PMID":"31221186","abstract":"Objective: To provide a national incidence rate and case fatality rate of dengue hemorrhagic fever in Indonesia through an analysis of the National Disease Surveillance database from the Directorate General of Disease Prevention and Control of Ministry of Health. Results: Available data has indicated an increasing trend of dengue hemorrhagic fever incidence in Indonesia over the past 50 years. Incidence rates appear to be cyclic, peaking approximately every 6-8 years. In contrast, the case fatality rate has decreased approximately by half each decade, since 1980. Java Island contributed the highest average number of dengue hemorrhagic fever cases each year. In recent years, Bali and Borneo (Kalimantan) have had the highest incidence while Papua Island, the easternmost region of the Indonesian archipelago, has had the lowest incidence.","author":[{"dropping-particle":"","family":"Harapan","given":"H.","non-dropping-particle":"","parse-names":false,"suffix":""},{"dropping-particle":"","family":"Michie","given":"A.","non-dropping-particle":"","parse-names":false,"suffix":""},{"dropping-particle":"","family":"Mudatsir","given":"M.","non-dropping-particle":"","parse-names":false,"suffix":""},{"dropping-particle":"","family":"Sasmono","given":"R.T.","non-dropping-particle":"","parse-names":false,"suffix":""},{"dropping-particle":"","family":"Imrie","given":"A.","non-dropping-particle":"","parse-names":false,"suffix":""}],"container-title":"BMC Research Notes","id":"ITEM-1","issue":"1","issued":{"date-parts":[["2019"]]},"page":"4-9","publisher":"BioMed Central","title":"Epidemiology of dengue hemorrhagic fever in Indonesia: Analysis of five decades data from the National Disease Surveillance","type":"article-journal","volume":"12"},"uris":["http://www.mendeley.com/documents/?uuid=48f38d72-1671-46db-b5ff-7691a0c0b7ea"]}],"mendeley":{"formattedCitation":"[23]","plainTextFormattedCitation":"[23]","previouslyFormattedCitation":"[22]"},"properties":{"noteIndex":0},"schema":"https://github.com/citation-style-language/schema/raw/master/csl-citation.json"}</w:instrText>
      </w:r>
      <w:r>
        <w:fldChar w:fldCharType="separate"/>
      </w:r>
      <w:r w:rsidRPr="00B768AE">
        <w:rPr>
          <w:noProof/>
        </w:rPr>
        <w:t>[23]</w:t>
      </w:r>
      <w:r>
        <w:fldChar w:fldCharType="end"/>
      </w:r>
    </w:p>
    <w:p w14:paraId="5873BC3E" w14:textId="1276E0B9" w:rsidR="0088233C" w:rsidRPr="00B0270D" w:rsidRDefault="00B0270D" w:rsidP="00387063">
      <w:pPr>
        <w:ind w:firstLine="720"/>
        <w:jc w:val="both"/>
      </w:pPr>
      <w:r w:rsidRPr="00B50F39">
        <w:t xml:space="preserve">Dengue disease transmission is influenced by complex interactions between vector, host, and virus. Land use, such as </w:t>
      </w:r>
      <w:r>
        <w:t xml:space="preserve">water </w:t>
      </w:r>
      <w:r w:rsidRPr="00B50F39">
        <w:t>bodies or specific agricultural practices, has been identified as a potential risk factor for dengue because they provide suitable habitat for the vector</w:t>
      </w:r>
      <w:r>
        <w:t xml:space="preserve"> </w:t>
      </w:r>
      <w:r>
        <w:fldChar w:fldCharType="begin" w:fldLock="1"/>
      </w:r>
      <w:r w:rsidR="00B768AE">
        <w:instrText>ADDIN CSL_CITATION {"citationItems":[{"id":"ITEM-1","itemData":{"DOI":"10.1016/j.sste.2014.05.002","ISSN":"18775853","PMID":"25113593","abstract":"The transmission of dengue disease is influenced by complex interactions among vector, host and virus. Land use such as water bodies or certain agricultural practices have been identified as likely risk factors for dengue because of the provision of suitable habitats for the vector. Many studies have focused on the land use factors of dengue vector abundance in small areas but have not yet studied the relationship between land use factors and dengue cases for large regions. This study aims to clarify if land use factors other than human settlements, e.g. different types of agricultural land use, water bodies and forest are associated with reported dengue cases from 2008 to 2010 in the state of Selangor, Malaysia. From the correlative relationship, we aim to generate a prediction risk map. We used Boosted Regression Trees (BRT) to account for nonlinearities and interactions between the factors with high predictive accuracies. Our model with a cross-validated performance score (Area Under the Receiver Operator Characteristic Curve, ROC AUC) of 0.81 showed that the most important land use factors are human settlements (model importance of 39.2%), followed by water bodies (16.1%), mixed horticulture (8.7%), open land (7.5%) and neglected grassland (6.7%). A risk map after 100 model runs with a cross-validated ROC AUC mean of 0.81 (±0.001 s.d.) is presented. Our findings may be an important asset for improving surveillance and control interventions for dengue. © 2014 The Authors.","author":[{"dropping-particle":"","family":"Cheong","given":"Y.L.","non-dropping-particle":"","parse-names":false,"suffix":""},{"dropping-particle":"","family":"Leitão","given":"P.J.","non-dropping-particle":"","parse-names":false,"suffix":""},{"dropping-particle":"","family":"Lakes","given":"T.","non-dropping-particle":"","parse-names":false,"suffix":""}],"container-title":"Spatial and Spatio-temporal Epidemiology","id":"ITEM-1","issued":{"date-parts":[["2014"]]},"page":"75-84","publisher":"Elsevier Ltd","title":"Assessment of land use factors associated with dengue cases in Malaysia using boosted regression trees","type":"article-journal","volume":"10"},"uris":["http://www.mendeley.com/documents/?uuid=43ee123a-2a76-43cd-9200-d68686528d44"]}],"mendeley":{"formattedCitation":"[24]","plainTextFormattedCitation":"[24]","previouslyFormattedCitation":"[23]"},"properties":{"noteIndex":0},"schema":"https://github.com/citation-style-language/schema/raw/master/csl-citation.json"}</w:instrText>
      </w:r>
      <w:r>
        <w:fldChar w:fldCharType="separate"/>
      </w:r>
      <w:r w:rsidR="00B768AE" w:rsidRPr="00B768AE">
        <w:rPr>
          <w:noProof/>
        </w:rPr>
        <w:t>[24]</w:t>
      </w:r>
      <w:r>
        <w:fldChar w:fldCharType="end"/>
      </w:r>
      <w:r w:rsidRPr="00B50F39">
        <w:t>.</w:t>
      </w:r>
      <w:r>
        <w:t xml:space="preserve"> </w:t>
      </w:r>
      <w:r w:rsidRPr="00B50F39">
        <w:t>Land use factors are an important component to consider in vector control strategic planning and implementation</w:t>
      </w:r>
      <w:r>
        <w:t xml:space="preserve"> </w:t>
      </w:r>
      <w:r>
        <w:fldChar w:fldCharType="begin" w:fldLock="1"/>
      </w:r>
      <w:r w:rsidR="00B768AE">
        <w:instrText>ADDIN CSL_CITATION {"citationItems":[{"id":"ITEM-1","itemData":{"DOI":"10.1016/j.sste.2014.05.002","ISSN":"18775853","PMID":"25113593","abstract":"The transmission of dengue disease is influenced by complex interactions among vector, host and virus. Land use such as water bodies or certain agricultural practices have been identified as likely risk factors for dengue because of the provision of suitable habitats for the vector. Many studies have focused on the land use factors of dengue vector abundance in small areas but have not yet studied the relationship between land use factors and dengue cases for large regions. This study aims to clarify if land use factors other than human settlements, e.g. different types of agricultural land use, water bodies and forest are associated with reported dengue cases from 2008 to 2010 in the state of Selangor, Malaysia. From the correlative relationship, we aim to generate a prediction risk map. We used Boosted Regression Trees (BRT) to account for nonlinearities and interactions between the factors with high predictive accuracies. Our model with a cross-validated performance score (Area Under the Receiver Operator Characteristic Curve, ROC AUC) of 0.81 showed that the most important land use factors are human settlements (model importance of 39.2%), followed by water bodies (16.1%), mixed horticulture (8.7%), open land (7.5%) and neglected grassland (6.7%). A risk map after 100 model runs with a cross-validated ROC AUC mean of 0.81 (±0.001 s.d.) is presented. Our findings may be an important asset for improving surveillance and control interventions for dengue. © 2014 The Authors.","author":[{"dropping-particle":"","family":"Cheong","given":"Y.L.","non-dropping-particle":"","parse-names":false,"suffix":""},{"dropping-particle":"","family":"Leitão","given":"P.J.","non-dropping-particle":"","parse-names":false,"suffix":""},{"dropping-particle":"","family":"Lakes","given":"T.","non-dropping-particle":"","parse-names":false,"suffix":""}],"container-title":"Spatial and Spatio-temporal Epidemiology","id":"ITEM-1","issued":{"date-parts":[["2014"]]},"page":"75-84","publisher":"Elsevier Ltd","title":"Assessment of land use factors associated with dengue cases in Malaysia using boosted regression trees","type":"article-journal","volume":"10"},"uris":["http://www.mendeley.com/documents/?uuid=43ee123a-2a76-43cd-9200-d68686528d44"]}],"mendeley":{"formattedCitation":"[24]","plainTextFormattedCitation":"[24]","previouslyFormattedCitation":"[23]"},"properties":{"noteIndex":0},"schema":"https://github.com/citation-style-language/schema/raw/master/csl-citation.json"}</w:instrText>
      </w:r>
      <w:r>
        <w:fldChar w:fldCharType="separate"/>
      </w:r>
      <w:r w:rsidR="00B768AE" w:rsidRPr="00B768AE">
        <w:rPr>
          <w:noProof/>
        </w:rPr>
        <w:t>[24]</w:t>
      </w:r>
      <w:r>
        <w:fldChar w:fldCharType="end"/>
      </w:r>
      <w:r>
        <w:t xml:space="preserve">. In this study, land use </w:t>
      </w:r>
      <w:proofErr w:type="spellStart"/>
      <w:r>
        <w:t>devide</w:t>
      </w:r>
      <w:proofErr w:type="spellEnd"/>
      <w:r>
        <w:t xml:space="preserve"> into water bodies (</w:t>
      </w:r>
      <w:r w:rsidRPr="00B0270D">
        <w:t>2</w:t>
      </w:r>
      <w:r>
        <w:t>,</w:t>
      </w:r>
      <w:r w:rsidRPr="00B0270D">
        <w:t>808</w:t>
      </w:r>
      <w:r>
        <w:t xml:space="preserve"> ha</w:t>
      </w:r>
      <w:proofErr w:type="gramStart"/>
      <w:r>
        <w:t>) ,</w:t>
      </w:r>
      <w:proofErr w:type="gramEnd"/>
      <w:r>
        <w:t xml:space="preserve"> settlement (2,926 ha), plantation/agriculture (71,790), shrubs/open Area (52,307 ha), and forest (84,511 ha) (Fig. 2). </w:t>
      </w:r>
      <w:r w:rsidRPr="00B0270D">
        <w:t>The dengue incidence rate (cases per 100,000 inhabitants) was low in high vegetation cover areas, but high in low vegetation cover areas where the land surface temperature was 29 ± 2 °C</w:t>
      </w:r>
      <w:r>
        <w:t xml:space="preserve"> </w:t>
      </w:r>
      <w:r>
        <w:fldChar w:fldCharType="begin" w:fldLock="1"/>
      </w:r>
      <w:r w:rsidR="00B768AE">
        <w:instrText>ADDIN CSL_CITATION {"citationItems":[{"id":"ITEM-1","itemData":{"DOI":"10.1016/j.bjid.2014.10.004","ISSN":"16784391","PMID":"25523076","abstract":"Urban heat islands are characterized by high land surface temperature, low humidity, and poor vegetation, and considered to favor the transmission of the mosquito-borne dengue fever that is transmitted by the Aedes aegypti mosquito. We analyzed the recorded dengue incidence in Sao Paulo city, Brazil, in 2010-2011, in terms of multiple environmental and socioeconomic variables. Geographical information systems, thermal remote sensing images, and census data were used to classify city areas according to land surface temperature, vegetation cover, population density, socioeconomic status, and housing standards. Of the 7415 dengue cases, a majority (93.1%) mapped to areas with land surface temperature &gt;28. °C. The dengue incidence rate (cases per 100,000 inhabitants) was low (3.2 cases) in high vegetation cover areas, but high (72.3 cases) in low vegetation cover areas where the land surface temperature was 29 ± 2 °C. Interestingly, a multiple cluster analysis phenogram showed more dengue cases clustered in areas of land surface temperature &gt;32 °C, than in areas characterized as low socioeconomic zones, high population density areas, or slum-like areas. In laboratory experiments, A. aegypti mosquito larval development, blood feeding, and oviposition associated positively with temperatures of 28-32. °C, indicating these temperatures to be favorable for dengue transmission. Thus, among all the variables studied, dengue incidence was most affected by the temperature.","author":[{"dropping-particle":"","family":"Araujo","given":"R.V.","non-dropping-particle":"","parse-names":false,"suffix":""},{"dropping-particle":"","family":"Albertini","given":"M.R.","non-dropping-particle":"","parse-names":false,"suffix":""},{"dropping-particle":"","family":"Costa-da-Silva","given":"A.L.","non-dropping-particle":"","parse-names":false,"suffix":""},{"dropping-particle":"","family":"Suesdek","given":"L.","non-dropping-particle":"","parse-names":false,"suffix":""},{"dropping-particle":"","family":"Franceschi","given":"N.C.S.","non-dropping-particle":"","parse-names":false,"suffix":""},{"dropping-particle":"","family":"Bastos","given":"N.M.","non-dropping-particle":"","parse-names":false,"suffix":""},{"dropping-particle":"","family":"Katz","given":"G.","non-dropping-particle":"","parse-names":false,"suffix":""},{"dropping-particle":"","family":"Cardoso","given":"V.A.","non-dropping-particle":"","parse-names":false,"suffix":""},{"dropping-particle":"","family":"Castro","given":"B.C.","non-dropping-particle":"","parse-names":false,"suffix":""},{"dropping-particle":"","family":"Capurro","given":"M.L.","non-dropping-particle":"","parse-names":false,"suffix":""},{"dropping-particle":"","family":"Allegro","given":"V.L.A.C.","non-dropping-particle":"","parse-names":false,"suffix":""}],"container-title":"Brazilian Journal of Infectious Diseases","id":"ITEM-1","issue":"2","issued":{"date-parts":[["2015"]]},"page":"146-155","title":"São Paulo urban heat islands have a higher incidence of dengue than other urban areas","type":"article-journal","volume":"19"},"uris":["http://www.mendeley.com/documents/?uuid=82545dc6-1a60-44ab-940d-3bd621a6e614"]}],"mendeley":{"formattedCitation":"[25]","plainTextFormattedCitation":"[25]","previouslyFormattedCitation":"[24]"},"properties":{"noteIndex":0},"schema":"https://github.com/citation-style-language/schema/raw/master/csl-citation.json"}</w:instrText>
      </w:r>
      <w:r>
        <w:fldChar w:fldCharType="separate"/>
      </w:r>
      <w:r w:rsidR="00B768AE" w:rsidRPr="00B768AE">
        <w:rPr>
          <w:noProof/>
        </w:rPr>
        <w:t>[25]</w:t>
      </w:r>
      <w:r>
        <w:fldChar w:fldCharType="end"/>
      </w:r>
      <w:r>
        <w:t>.</w:t>
      </w:r>
    </w:p>
    <w:p w14:paraId="572FB4CC" w14:textId="77777777" w:rsidR="00B0270D" w:rsidRDefault="00B0270D" w:rsidP="00B0270D">
      <w:pPr>
        <w:jc w:val="center"/>
        <w:rPr>
          <w:lang w:val="id-ID"/>
        </w:rPr>
      </w:pPr>
      <w:r>
        <w:rPr>
          <w:noProof/>
        </w:rPr>
        <w:drawing>
          <wp:inline distT="0" distB="0" distL="0" distR="0" wp14:anchorId="2F5F7993" wp14:editId="7CC7C168">
            <wp:extent cx="2772000" cy="195994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2000" cy="1959945"/>
                    </a:xfrm>
                    <a:prstGeom prst="rect">
                      <a:avLst/>
                    </a:prstGeom>
                    <a:noFill/>
                    <a:ln>
                      <a:noFill/>
                    </a:ln>
                  </pic:spPr>
                </pic:pic>
              </a:graphicData>
            </a:graphic>
          </wp:inline>
        </w:drawing>
      </w:r>
      <w:r>
        <w:rPr>
          <w:noProof/>
        </w:rPr>
        <w:drawing>
          <wp:inline distT="0" distB="0" distL="0" distR="0" wp14:anchorId="1653BE27" wp14:editId="25B28BF3">
            <wp:extent cx="2772000" cy="1959946"/>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2000" cy="1959946"/>
                    </a:xfrm>
                    <a:prstGeom prst="rect">
                      <a:avLst/>
                    </a:prstGeom>
                    <a:noFill/>
                    <a:ln>
                      <a:noFill/>
                    </a:ln>
                  </pic:spPr>
                </pic:pic>
              </a:graphicData>
            </a:graphic>
          </wp:inline>
        </w:drawing>
      </w:r>
      <w:r>
        <w:rPr>
          <w:noProof/>
        </w:rPr>
        <w:drawing>
          <wp:inline distT="0" distB="0" distL="0" distR="0" wp14:anchorId="4DAFC271" wp14:editId="6AC348BB">
            <wp:extent cx="2772000" cy="1959946"/>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000" cy="1959946"/>
                    </a:xfrm>
                    <a:prstGeom prst="rect">
                      <a:avLst/>
                    </a:prstGeom>
                    <a:noFill/>
                    <a:ln>
                      <a:noFill/>
                    </a:ln>
                  </pic:spPr>
                </pic:pic>
              </a:graphicData>
            </a:graphic>
          </wp:inline>
        </w:drawing>
      </w:r>
      <w:r>
        <w:rPr>
          <w:noProof/>
        </w:rPr>
        <w:drawing>
          <wp:inline distT="0" distB="0" distL="0" distR="0" wp14:anchorId="60CA2C69" wp14:editId="4716A95C">
            <wp:extent cx="2772000" cy="195994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2000" cy="1959946"/>
                    </a:xfrm>
                    <a:prstGeom prst="rect">
                      <a:avLst/>
                    </a:prstGeom>
                    <a:noFill/>
                    <a:ln>
                      <a:noFill/>
                    </a:ln>
                  </pic:spPr>
                </pic:pic>
              </a:graphicData>
            </a:graphic>
          </wp:inline>
        </w:drawing>
      </w:r>
      <w:r>
        <w:rPr>
          <w:noProof/>
        </w:rPr>
        <w:drawing>
          <wp:inline distT="0" distB="0" distL="0" distR="0" wp14:anchorId="4B6C19DE" wp14:editId="0D2945A0">
            <wp:extent cx="2772000" cy="195994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2000" cy="1959946"/>
                    </a:xfrm>
                    <a:prstGeom prst="rect">
                      <a:avLst/>
                    </a:prstGeom>
                    <a:noFill/>
                    <a:ln>
                      <a:noFill/>
                    </a:ln>
                  </pic:spPr>
                </pic:pic>
              </a:graphicData>
            </a:graphic>
          </wp:inline>
        </w:drawing>
      </w:r>
      <w:r w:rsidRPr="00521259">
        <w:t xml:space="preserve"> </w:t>
      </w:r>
      <w:r>
        <w:rPr>
          <w:noProof/>
        </w:rPr>
        <w:drawing>
          <wp:inline distT="0" distB="0" distL="0" distR="0" wp14:anchorId="0360B4CA" wp14:editId="30045C8F">
            <wp:extent cx="2772000" cy="195876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2000" cy="1958762"/>
                    </a:xfrm>
                    <a:prstGeom prst="rect">
                      <a:avLst/>
                    </a:prstGeom>
                    <a:noFill/>
                    <a:ln>
                      <a:noFill/>
                    </a:ln>
                  </pic:spPr>
                </pic:pic>
              </a:graphicData>
            </a:graphic>
          </wp:inline>
        </w:drawing>
      </w:r>
    </w:p>
    <w:p w14:paraId="048F5CFD" w14:textId="5DF62159" w:rsidR="005E17F2" w:rsidRPr="00B222A4" w:rsidRDefault="00B0270D" w:rsidP="00B222A4">
      <w:pPr>
        <w:jc w:val="center"/>
      </w:pPr>
      <w:r>
        <w:rPr>
          <w:lang w:val="id-ID"/>
        </w:rPr>
        <w:t xml:space="preserve">Figure </w:t>
      </w:r>
      <w:r>
        <w:t>2</w:t>
      </w:r>
      <w:r>
        <w:rPr>
          <w:lang w:val="id-ID"/>
        </w:rPr>
        <w:t xml:space="preserve">. </w:t>
      </w:r>
      <w:r w:rsidRPr="000B37DD">
        <w:rPr>
          <w:lang w:val="id-ID"/>
        </w:rPr>
        <w:t xml:space="preserve">The factors </w:t>
      </w:r>
      <w:r>
        <w:t>of</w:t>
      </w:r>
      <w:r w:rsidRPr="000B37DD">
        <w:rPr>
          <w:lang w:val="id-ID"/>
        </w:rPr>
        <w:t xml:space="preserve"> </w:t>
      </w:r>
      <w:r>
        <w:t xml:space="preserve">DHF </w:t>
      </w:r>
      <w:r w:rsidRPr="007463C3">
        <w:t>vulnerability</w:t>
      </w:r>
    </w:p>
    <w:p w14:paraId="6B098E2E" w14:textId="0AEF03B2" w:rsidR="00B07DF0" w:rsidRDefault="005E17F2" w:rsidP="00904D6D">
      <w:pPr>
        <w:rPr>
          <w:b/>
          <w:bCs/>
          <w:lang w:val="id-ID"/>
        </w:rPr>
      </w:pPr>
      <w:r w:rsidRPr="005E17F2">
        <w:rPr>
          <w:b/>
          <w:bCs/>
        </w:rPr>
        <w:lastRenderedPageBreak/>
        <w:t xml:space="preserve">2.3. </w:t>
      </w:r>
      <w:r w:rsidRPr="005E17F2">
        <w:rPr>
          <w:b/>
          <w:bCs/>
          <w:lang w:val="id-ID"/>
        </w:rPr>
        <w:t>Methodology</w:t>
      </w:r>
    </w:p>
    <w:p w14:paraId="4231D352" w14:textId="35270AF1" w:rsidR="005E17F2" w:rsidRPr="005E17F2" w:rsidRDefault="005E17F2" w:rsidP="005E17F2">
      <w:pPr>
        <w:ind w:firstLine="720"/>
        <w:jc w:val="both"/>
      </w:pPr>
      <w:r w:rsidRPr="005E17F2">
        <w:rPr>
          <w:lang w:val="id-ID"/>
        </w:rPr>
        <w:t>Analytical Hierarchy Process (AHP) is a mathematical problem-solving tool that gained popularity among management personnel in the late 1990s and early 2000s.</w:t>
      </w:r>
      <w:r w:rsidRPr="005E17F2">
        <w:t xml:space="preserve"> </w:t>
      </w:r>
      <w:r w:rsidRPr="005E17F2">
        <w:fldChar w:fldCharType="begin" w:fldLock="1"/>
      </w:r>
      <w:r w:rsidR="00B768AE">
        <w:instrText>ADDIN CSL_CITATION {"citationItems":[{"id":"ITEM-1","itemData":{"author":[{"dropping-particle":"","family":"Saaty","given":"T.L.","non-dropping-particle":"","parse-names":false,"suffix":""}],"id":"ITEM-1","issued":{"date-parts":[["1980"]]},"publisher":"McGraw Hill. International","publisher-place":"New York","title":"The Analytic Hierarchy Process","type":"book"},"uris":["http://www.mendeley.com/documents/?uuid=7d6158a3-165b-4713-a0ec-a07724c0a97c"]},{"id":"ITEM-2","itemData":{"DOI":"10.1504/IJSSCI.2008.017590","author":[{"dropping-particle":"","family":"Saaty","given":"T.L.","non-dropping-particle":"","parse-names":false,"suffix":""}],"container-title":"International Journal Services Sciences","id":"ITEM-2","issued":{"date-parts":[["2008"]]},"page":"83-98","title":"Decision making with the analytic hierarchy process","type":"article-journal","volume":"1(1)"},"uris":["http://www.mendeley.com/documents/?uuid=b191810d-e5ec-4ddf-b030-7db0d5044c00"]}],"mendeley":{"formattedCitation":"[26], [27]","manualFormatting":"Saaty (1980; 2008)","plainTextFormattedCitation":"[26], [27]","previouslyFormattedCitation":"[25], [26]"},"properties":{"noteIndex":0},"schema":"https://github.com/citation-style-language/schema/raw/master/csl-citation.json"}</w:instrText>
      </w:r>
      <w:r w:rsidRPr="005E17F2">
        <w:fldChar w:fldCharType="separate"/>
      </w:r>
      <w:r w:rsidRPr="005E17F2">
        <w:rPr>
          <w:noProof/>
        </w:rPr>
        <w:t>Saaty (1980; 2008)</w:t>
      </w:r>
      <w:r w:rsidRPr="005E17F2">
        <w:fldChar w:fldCharType="end"/>
      </w:r>
      <w:r w:rsidRPr="005E17F2">
        <w:rPr>
          <w:lang w:val="id-ID"/>
        </w:rPr>
        <w:t xml:space="preserve"> </w:t>
      </w:r>
      <w:r w:rsidRPr="005E17F2">
        <w:t xml:space="preserve">developed </w:t>
      </w:r>
      <w:r w:rsidRPr="005E17F2">
        <w:rPr>
          <w:lang w:val="id-ID"/>
        </w:rPr>
        <w:t>a multicriteria decision-making technique that provides a systematic approach for assessing and integrating the effects of various factors, involving several levels of dependent or independent qualitative and quantitative data</w:t>
      </w:r>
      <w:r w:rsidRPr="005E17F2">
        <w:t xml:space="preserve">. This procedure included a variety of options in the decision and was capable of performing sensitivity analysis on the following criteria and benchmarks. Furthermore, because of the paired comparisons, it simplifies judgments and calculations. In addition, it demonstrates the compatibility and incompatibility decisions that result from multi-criteria decision making. The relative importance of the criteria is scaled from 1 to 9, with 1 indicating the least important criteria and 9 indicating the most important criteria (Table 1). </w:t>
      </w:r>
      <w:r w:rsidRPr="005E17F2">
        <w:rPr>
          <w:lang w:val="id-ID"/>
        </w:rPr>
        <w:t>The AHP procedure is as follows</w:t>
      </w:r>
      <w:r w:rsidRPr="005E17F2">
        <w:t xml:space="preserve"> </w:t>
      </w:r>
      <w:r w:rsidRPr="005E17F2">
        <w:fldChar w:fldCharType="begin" w:fldLock="1"/>
      </w:r>
      <w:r w:rsidR="00B768AE">
        <w:instrText>ADDIN CSL_CITATION {"citationItems":[{"id":"ITEM-1","itemData":{"author":[{"dropping-particle":"","family":"Saaty","given":"T.L.","non-dropping-particle":"","parse-names":false,"suffix":""}],"id":"ITEM-1","issued":{"date-parts":[["1980"]]},"publisher":"McGraw Hill. International","publisher-place":"New York","title":"The Analytic Hierarchy Process","type":"book"},"uris":["http://www.mendeley.com/documents/?uuid=7d6158a3-165b-4713-a0ec-a07724c0a97c"]},{"id":"ITEM-2","itemData":{"DOI":"10.1504/IJSSCI.2008.017590","author":[{"dropping-particle":"","family":"Saaty","given":"T.L.","non-dropping-particle":"","parse-names":false,"suffix":""}],"container-title":"International Journal Services Sciences","id":"ITEM-2","issued":{"date-parts":[["2008"]]},"page":"83-98","title":"Decision making with the analytic hierarchy process","type":"article-journal","volume":"1(1)"},"uris":["http://www.mendeley.com/documents/?uuid=b191810d-e5ec-4ddf-b030-7db0d5044c00"]}],"mendeley":{"formattedCitation":"[26], [27]","plainTextFormattedCitation":"[26], [27]","previouslyFormattedCitation":"[25], [26]"},"properties":{"noteIndex":0},"schema":"https://github.com/citation-style-language/schema/raw/master/csl-citation.json"}</w:instrText>
      </w:r>
      <w:r w:rsidRPr="005E17F2">
        <w:fldChar w:fldCharType="separate"/>
      </w:r>
      <w:r w:rsidR="00B768AE" w:rsidRPr="00B768AE">
        <w:rPr>
          <w:noProof/>
        </w:rPr>
        <w:t>[26], [27]</w:t>
      </w:r>
      <w:r w:rsidRPr="005E17F2">
        <w:fldChar w:fldCharType="end"/>
      </w:r>
      <w:r w:rsidRPr="005E17F2">
        <w:rPr>
          <w:lang w:val="id-ID"/>
        </w:rPr>
        <w:t>:</w:t>
      </w:r>
    </w:p>
    <w:p w14:paraId="0C84CA42" w14:textId="77777777" w:rsidR="005E17F2" w:rsidRPr="005E17F2" w:rsidRDefault="005E17F2" w:rsidP="005E17F2">
      <w:r w:rsidRPr="005E17F2">
        <w:t>Step 1: Define alternatives</w:t>
      </w:r>
    </w:p>
    <w:p w14:paraId="5D4FF4CE" w14:textId="77777777" w:rsidR="005E17F2" w:rsidRPr="005E17F2" w:rsidRDefault="005E17F2" w:rsidP="005E17F2">
      <w:r w:rsidRPr="005E17F2">
        <w:t>Step 2: Define the problem and criteria</w:t>
      </w:r>
    </w:p>
    <w:p w14:paraId="5F6F70D4" w14:textId="77777777" w:rsidR="005E17F2" w:rsidRPr="005E17F2" w:rsidRDefault="005E17F2" w:rsidP="005E17F2">
      <w:r w:rsidRPr="005E17F2">
        <w:t>Step 3: Establish Priority amongst criteria using pairwise comparison</w:t>
      </w:r>
    </w:p>
    <w:p w14:paraId="514867BB" w14:textId="77777777" w:rsidR="005E17F2" w:rsidRPr="005E17F2" w:rsidRDefault="005E17F2" w:rsidP="005E17F2">
      <w:r w:rsidRPr="005E17F2">
        <w:t>Step 4: Check Consistency Ratio (CR) using Eq.1</w:t>
      </w:r>
    </w:p>
    <w:p w14:paraId="61C04E4B" w14:textId="77777777" w:rsidR="005E17F2" w:rsidRPr="005E17F2" w:rsidRDefault="005E17F2" w:rsidP="005E17F2">
      <w:r w:rsidRPr="005E17F2">
        <w:t>Step 5: Get the relative weights</w:t>
      </w:r>
    </w:p>
    <w:p w14:paraId="29887986" w14:textId="173F2EC6" w:rsidR="005E17F2" w:rsidRPr="005E17F2" w:rsidRDefault="000B34E1" w:rsidP="005E17F2">
      <w:pPr>
        <w:pStyle w:val="ListParagraph"/>
        <w:ind w:left="0"/>
        <w:rPr>
          <w:rFonts w:ascii="Times New Roman" w:hAnsi="Times New Roman"/>
          <w:sz w:val="20"/>
          <w:szCs w:val="20"/>
        </w:rPr>
      </w:pPr>
      <w:r w:rsidRPr="005E17F2">
        <w:rPr>
          <w:rFonts w:ascii="Times New Roman" w:hAnsi="Times New Roman"/>
          <w:position w:val="-20"/>
          <w:sz w:val="20"/>
          <w:szCs w:val="20"/>
          <w:lang w:val="id-ID"/>
        </w:rPr>
        <w:object w:dxaOrig="1920" w:dyaOrig="560" w14:anchorId="50E6D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27.75pt" o:ole="">
            <v:imagedata r:id="rId17" o:title=""/>
          </v:shape>
          <o:OLEObject Type="Embed" ProgID="Equation.DSMT4" ShapeID="_x0000_i1025" DrawAspect="Content" ObjectID="_1686420554" r:id="rId18"/>
        </w:object>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sidR="005E17F2" w:rsidRPr="005E17F2">
        <w:rPr>
          <w:rFonts w:ascii="Times New Roman" w:hAnsi="Times New Roman"/>
          <w:sz w:val="20"/>
          <w:szCs w:val="20"/>
          <w:lang w:val="id-ID"/>
        </w:rPr>
        <w:tab/>
      </w:r>
      <w:r>
        <w:rPr>
          <w:rFonts w:ascii="Times New Roman" w:hAnsi="Times New Roman"/>
          <w:sz w:val="20"/>
          <w:szCs w:val="20"/>
          <w:lang w:val="id-ID"/>
        </w:rPr>
        <w:tab/>
      </w:r>
      <w:r>
        <w:rPr>
          <w:rFonts w:ascii="Times New Roman" w:hAnsi="Times New Roman"/>
          <w:sz w:val="20"/>
          <w:szCs w:val="20"/>
          <w:lang w:val="en-US"/>
        </w:rPr>
        <w:t xml:space="preserve">            </w:t>
      </w:r>
      <w:r w:rsidR="005E17F2" w:rsidRPr="005E17F2">
        <w:rPr>
          <w:rFonts w:ascii="Times New Roman" w:hAnsi="Times New Roman"/>
          <w:sz w:val="20"/>
          <w:szCs w:val="20"/>
        </w:rPr>
        <w:t>(1)</w:t>
      </w:r>
    </w:p>
    <w:p w14:paraId="73AAE131" w14:textId="77777777" w:rsidR="005E17F2" w:rsidRPr="005E17F2" w:rsidRDefault="005E17F2" w:rsidP="000B34E1">
      <w:pPr>
        <w:pStyle w:val="ListParagraph"/>
        <w:ind w:left="0"/>
        <w:jc w:val="both"/>
        <w:rPr>
          <w:rFonts w:ascii="Times New Roman" w:hAnsi="Times New Roman"/>
          <w:sz w:val="20"/>
          <w:szCs w:val="20"/>
        </w:rPr>
      </w:pPr>
      <w:r w:rsidRPr="005E17F2">
        <w:rPr>
          <w:rFonts w:ascii="Times New Roman" w:hAnsi="Times New Roman"/>
          <w:sz w:val="20"/>
          <w:szCs w:val="20"/>
        </w:rPr>
        <w:t xml:space="preserve">where CI is consistency Index, RI is a random index indicating the consistency of a pairwise comparison matrix generated at random (See Table 2), n is number of criteria </w:t>
      </w:r>
      <w:proofErr w:type="gramStart"/>
      <w:r w:rsidRPr="005E17F2">
        <w:rPr>
          <w:rFonts w:ascii="Times New Roman" w:hAnsi="Times New Roman"/>
          <w:sz w:val="20"/>
          <w:szCs w:val="20"/>
        </w:rPr>
        <w:t xml:space="preserve">and  </w:t>
      </w:r>
      <w:proofErr w:type="spellStart"/>
      <w:r w:rsidRPr="005E17F2">
        <w:rPr>
          <w:rFonts w:ascii="Times New Roman" w:hAnsi="Times New Roman"/>
          <w:sz w:val="20"/>
          <w:szCs w:val="20"/>
        </w:rPr>
        <w:t>λ</w:t>
      </w:r>
      <w:proofErr w:type="gramEnd"/>
      <w:r w:rsidRPr="005E17F2">
        <w:rPr>
          <w:rFonts w:ascii="Times New Roman" w:hAnsi="Times New Roman"/>
          <w:sz w:val="20"/>
          <w:szCs w:val="20"/>
          <w:vertAlign w:val="subscript"/>
        </w:rPr>
        <w:t>max</w:t>
      </w:r>
      <w:proofErr w:type="spellEnd"/>
      <w:r w:rsidRPr="005E17F2">
        <w:rPr>
          <w:rFonts w:ascii="Times New Roman" w:hAnsi="Times New Roman"/>
          <w:sz w:val="20"/>
          <w:szCs w:val="20"/>
        </w:rPr>
        <w:t xml:space="preserve"> is the maximum eigenvalue of the comparison matrix,. When the CR value is less than 10%, the judgment is consistent; when it exceeds 10%, the assessments may need to be revised.</w:t>
      </w:r>
    </w:p>
    <w:p w14:paraId="7D8E1AFE" w14:textId="4F34424B" w:rsidR="005E17F2" w:rsidRPr="005E17F2" w:rsidRDefault="005E17F2" w:rsidP="005E17F2">
      <w:pPr>
        <w:spacing w:after="120"/>
        <w:jc w:val="center"/>
      </w:pPr>
      <w:proofErr w:type="spellStart"/>
      <w:r w:rsidRPr="005E17F2">
        <w:t>Tabel</w:t>
      </w:r>
      <w:proofErr w:type="spellEnd"/>
      <w:r w:rsidRPr="005E17F2">
        <w:t xml:space="preserve"> 1. The relative importance of the criteria </w:t>
      </w:r>
      <w:r w:rsidRPr="005E17F2">
        <w:fldChar w:fldCharType="begin" w:fldLock="1"/>
      </w:r>
      <w:r w:rsidR="00B768AE">
        <w:instrText>ADDIN CSL_CITATION {"citationItems":[{"id":"ITEM-1","itemData":{"author":[{"dropping-particle":"","family":"Saaty","given":"T.L.","non-dropping-particle":"","parse-names":false,"suffix":""}],"id":"ITEM-1","issued":{"date-parts":[["1980"]]},"publisher":"McGraw Hill. International","publisher-place":"New York","title":"The Analytic Hierarchy Process","type":"book"},"uris":["http://www.mendeley.com/documents/?uuid=7d6158a3-165b-4713-a0ec-a07724c0a97c"]},{"id":"ITEM-2","itemData":{"DOI":"10.1504/IJSSCI.2008.017590","author":[{"dropping-particle":"","family":"Saaty","given":"T.L.","non-dropping-particle":"","parse-names":false,"suffix":""}],"container-title":"International Journal Services Sciences","id":"ITEM-2","issued":{"date-parts":[["2008"]]},"page":"83-98","title":"Decision making with the analytic hierarchy process","type":"article-journal","volume":"1(1)"},"uris":["http://www.mendeley.com/documents/?uuid=b191810d-e5ec-4ddf-b030-7db0d5044c00"]}],"mendeley":{"formattedCitation":"[26], [27]","plainTextFormattedCitation":"[26], [27]","previouslyFormattedCitation":"[25], [26]"},"properties":{"noteIndex":0},"schema":"https://github.com/citation-style-language/schema/raw/master/csl-citation.json"}</w:instrText>
      </w:r>
      <w:r w:rsidRPr="005E17F2">
        <w:fldChar w:fldCharType="separate"/>
      </w:r>
      <w:r w:rsidR="00B768AE" w:rsidRPr="00B768AE">
        <w:rPr>
          <w:noProof/>
        </w:rPr>
        <w:t>[26], [27]</w:t>
      </w:r>
      <w:r w:rsidRPr="005E17F2">
        <w:fldChar w:fldCharType="end"/>
      </w:r>
    </w:p>
    <w:tbl>
      <w:tblPr>
        <w:tblStyle w:val="PlainTable2"/>
        <w:tblW w:w="0" w:type="auto"/>
        <w:tblLook w:val="04A0" w:firstRow="1" w:lastRow="0" w:firstColumn="1" w:lastColumn="0" w:noHBand="0" w:noVBand="1"/>
      </w:tblPr>
      <w:tblGrid>
        <w:gridCol w:w="1243"/>
        <w:gridCol w:w="2544"/>
        <w:gridCol w:w="5001"/>
      </w:tblGrid>
      <w:tr w:rsidR="005E17F2" w:rsidRPr="005E17F2" w14:paraId="083CE348" w14:textId="77777777" w:rsidTr="005E17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AE8EC3" w14:textId="77777777" w:rsidR="005E17F2" w:rsidRPr="005E17F2" w:rsidRDefault="005E17F2" w:rsidP="00933705">
            <w:pPr>
              <w:jc w:val="center"/>
              <w:rPr>
                <w:b w:val="0"/>
                <w:bCs w:val="0"/>
              </w:rPr>
            </w:pPr>
            <w:r w:rsidRPr="005E17F2">
              <w:t>Intensity</w:t>
            </w:r>
          </w:p>
        </w:tc>
        <w:tc>
          <w:tcPr>
            <w:tcW w:w="2693" w:type="dxa"/>
          </w:tcPr>
          <w:p w14:paraId="76A7BEDB"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Definition</w:t>
            </w:r>
          </w:p>
        </w:tc>
        <w:tc>
          <w:tcPr>
            <w:tcW w:w="5386" w:type="dxa"/>
          </w:tcPr>
          <w:p w14:paraId="1C51C69B"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Explanation</w:t>
            </w:r>
          </w:p>
        </w:tc>
      </w:tr>
      <w:tr w:rsidR="005E17F2" w:rsidRPr="005E17F2" w14:paraId="22E5BDB2" w14:textId="77777777" w:rsidTr="005E1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2E7F2C3" w14:textId="77777777" w:rsidR="005E17F2" w:rsidRPr="005E17F2" w:rsidRDefault="005E17F2" w:rsidP="00933705">
            <w:pPr>
              <w:jc w:val="center"/>
            </w:pPr>
            <w:r w:rsidRPr="005E17F2">
              <w:t>1</w:t>
            </w:r>
          </w:p>
        </w:tc>
        <w:tc>
          <w:tcPr>
            <w:tcW w:w="2693" w:type="dxa"/>
          </w:tcPr>
          <w:p w14:paraId="3758DFC2"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Equal importance</w:t>
            </w:r>
          </w:p>
        </w:tc>
        <w:tc>
          <w:tcPr>
            <w:tcW w:w="5386" w:type="dxa"/>
          </w:tcPr>
          <w:p w14:paraId="678CE2CD"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Two elements contribute equally to the goal.</w:t>
            </w:r>
          </w:p>
        </w:tc>
      </w:tr>
      <w:tr w:rsidR="005E17F2" w:rsidRPr="005E17F2" w14:paraId="39ED599E" w14:textId="77777777" w:rsidTr="005E17F2">
        <w:tc>
          <w:tcPr>
            <w:cnfStyle w:val="001000000000" w:firstRow="0" w:lastRow="0" w:firstColumn="1" w:lastColumn="0" w:oddVBand="0" w:evenVBand="0" w:oddHBand="0" w:evenHBand="0" w:firstRowFirstColumn="0" w:firstRowLastColumn="0" w:lastRowFirstColumn="0" w:lastRowLastColumn="0"/>
            <w:tcW w:w="1271" w:type="dxa"/>
          </w:tcPr>
          <w:p w14:paraId="62AB2CBB" w14:textId="77777777" w:rsidR="005E17F2" w:rsidRPr="005E17F2" w:rsidRDefault="005E17F2" w:rsidP="00933705">
            <w:pPr>
              <w:jc w:val="center"/>
            </w:pPr>
            <w:r w:rsidRPr="005E17F2">
              <w:t>3</w:t>
            </w:r>
          </w:p>
        </w:tc>
        <w:tc>
          <w:tcPr>
            <w:tcW w:w="2693" w:type="dxa"/>
          </w:tcPr>
          <w:p w14:paraId="5BDFDE52" w14:textId="77777777" w:rsidR="005E17F2" w:rsidRPr="005E17F2" w:rsidRDefault="005E17F2" w:rsidP="00933705">
            <w:pPr>
              <w:cnfStyle w:val="000000000000" w:firstRow="0" w:lastRow="0" w:firstColumn="0" w:lastColumn="0" w:oddVBand="0" w:evenVBand="0" w:oddHBand="0" w:evenHBand="0" w:firstRowFirstColumn="0" w:firstRowLastColumn="0" w:lastRowFirstColumn="0" w:lastRowLastColumn="0"/>
            </w:pPr>
            <w:r w:rsidRPr="005E17F2">
              <w:t>Moderate importance</w:t>
            </w:r>
          </w:p>
        </w:tc>
        <w:tc>
          <w:tcPr>
            <w:tcW w:w="5386" w:type="dxa"/>
          </w:tcPr>
          <w:p w14:paraId="3660C835" w14:textId="77777777" w:rsidR="005E17F2" w:rsidRPr="005E17F2" w:rsidRDefault="005E17F2" w:rsidP="00933705">
            <w:pPr>
              <w:cnfStyle w:val="000000000000" w:firstRow="0" w:lastRow="0" w:firstColumn="0" w:lastColumn="0" w:oddVBand="0" w:evenVBand="0" w:oddHBand="0" w:evenHBand="0" w:firstRowFirstColumn="0" w:firstRowLastColumn="0" w:lastRowFirstColumn="0" w:lastRowLastColumn="0"/>
            </w:pPr>
            <w:r w:rsidRPr="005E17F2">
              <w:t>Experience and judgement favor one element slightly more than another</w:t>
            </w:r>
          </w:p>
        </w:tc>
      </w:tr>
      <w:tr w:rsidR="005E17F2" w:rsidRPr="005E17F2" w14:paraId="55DFE3D5" w14:textId="77777777" w:rsidTr="005E1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193DD5C" w14:textId="77777777" w:rsidR="005E17F2" w:rsidRPr="005E17F2" w:rsidRDefault="005E17F2" w:rsidP="00933705">
            <w:pPr>
              <w:jc w:val="center"/>
            </w:pPr>
            <w:r w:rsidRPr="005E17F2">
              <w:t>5</w:t>
            </w:r>
          </w:p>
        </w:tc>
        <w:tc>
          <w:tcPr>
            <w:tcW w:w="2693" w:type="dxa"/>
          </w:tcPr>
          <w:p w14:paraId="009FFFE5"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Strong importance</w:t>
            </w:r>
          </w:p>
        </w:tc>
        <w:tc>
          <w:tcPr>
            <w:tcW w:w="5386" w:type="dxa"/>
          </w:tcPr>
          <w:p w14:paraId="1528B622"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Experience and judgement strongly favor one element over another</w:t>
            </w:r>
          </w:p>
        </w:tc>
      </w:tr>
      <w:tr w:rsidR="005E17F2" w:rsidRPr="005E17F2" w14:paraId="4892156F" w14:textId="77777777" w:rsidTr="005E17F2">
        <w:tc>
          <w:tcPr>
            <w:cnfStyle w:val="001000000000" w:firstRow="0" w:lastRow="0" w:firstColumn="1" w:lastColumn="0" w:oddVBand="0" w:evenVBand="0" w:oddHBand="0" w:evenHBand="0" w:firstRowFirstColumn="0" w:firstRowLastColumn="0" w:lastRowFirstColumn="0" w:lastRowLastColumn="0"/>
            <w:tcW w:w="1271" w:type="dxa"/>
          </w:tcPr>
          <w:p w14:paraId="0934518A" w14:textId="77777777" w:rsidR="005E17F2" w:rsidRPr="005E17F2" w:rsidRDefault="005E17F2" w:rsidP="00933705">
            <w:pPr>
              <w:jc w:val="center"/>
            </w:pPr>
            <w:r w:rsidRPr="005E17F2">
              <w:t>7</w:t>
            </w:r>
          </w:p>
        </w:tc>
        <w:tc>
          <w:tcPr>
            <w:tcW w:w="2693" w:type="dxa"/>
          </w:tcPr>
          <w:p w14:paraId="3728CD30" w14:textId="77777777" w:rsidR="005E17F2" w:rsidRPr="005E17F2" w:rsidRDefault="005E17F2" w:rsidP="00933705">
            <w:pPr>
              <w:cnfStyle w:val="000000000000" w:firstRow="0" w:lastRow="0" w:firstColumn="0" w:lastColumn="0" w:oddVBand="0" w:evenVBand="0" w:oddHBand="0" w:evenHBand="0" w:firstRowFirstColumn="0" w:firstRowLastColumn="0" w:lastRowFirstColumn="0" w:lastRowLastColumn="0"/>
            </w:pPr>
            <w:r w:rsidRPr="005E17F2">
              <w:t>Very strong importance</w:t>
            </w:r>
          </w:p>
        </w:tc>
        <w:tc>
          <w:tcPr>
            <w:tcW w:w="5386" w:type="dxa"/>
          </w:tcPr>
          <w:p w14:paraId="33546ACD" w14:textId="77777777" w:rsidR="005E17F2" w:rsidRPr="005E17F2" w:rsidRDefault="005E17F2" w:rsidP="00933705">
            <w:pPr>
              <w:cnfStyle w:val="000000000000" w:firstRow="0" w:lastRow="0" w:firstColumn="0" w:lastColumn="0" w:oddVBand="0" w:evenVBand="0" w:oddHBand="0" w:evenHBand="0" w:firstRowFirstColumn="0" w:firstRowLastColumn="0" w:lastRowFirstColumn="0" w:lastRowLastColumn="0"/>
            </w:pPr>
            <w:r w:rsidRPr="005E17F2">
              <w:t>One element is strongly favored over another, and its dominance is demonstrated in practice</w:t>
            </w:r>
          </w:p>
        </w:tc>
      </w:tr>
      <w:tr w:rsidR="005E17F2" w:rsidRPr="005E17F2" w14:paraId="3B2FB28C" w14:textId="77777777" w:rsidTr="005E1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74D30CC" w14:textId="77777777" w:rsidR="005E17F2" w:rsidRPr="005E17F2" w:rsidRDefault="005E17F2" w:rsidP="00933705">
            <w:pPr>
              <w:jc w:val="center"/>
            </w:pPr>
            <w:r w:rsidRPr="005E17F2">
              <w:t>9</w:t>
            </w:r>
          </w:p>
        </w:tc>
        <w:tc>
          <w:tcPr>
            <w:tcW w:w="2693" w:type="dxa"/>
          </w:tcPr>
          <w:p w14:paraId="5755C40C"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Extreme importance</w:t>
            </w:r>
          </w:p>
        </w:tc>
        <w:tc>
          <w:tcPr>
            <w:tcW w:w="5386" w:type="dxa"/>
          </w:tcPr>
          <w:p w14:paraId="104ED435" w14:textId="77777777" w:rsidR="005E17F2" w:rsidRPr="005E17F2" w:rsidRDefault="005E17F2" w:rsidP="00933705">
            <w:pPr>
              <w:cnfStyle w:val="000000100000" w:firstRow="0" w:lastRow="0" w:firstColumn="0" w:lastColumn="0" w:oddVBand="0" w:evenVBand="0" w:oddHBand="1" w:evenHBand="0" w:firstRowFirstColumn="0" w:firstRowLastColumn="0" w:lastRowFirstColumn="0" w:lastRowLastColumn="0"/>
            </w:pPr>
            <w:r w:rsidRPr="005E17F2">
              <w:t>The evidence in favor of one element over another is of the highest order of confirmation</w:t>
            </w:r>
          </w:p>
        </w:tc>
      </w:tr>
      <w:tr w:rsidR="005E17F2" w:rsidRPr="005E17F2" w14:paraId="401BA9D1" w14:textId="77777777" w:rsidTr="005E17F2">
        <w:tc>
          <w:tcPr>
            <w:cnfStyle w:val="001000000000" w:firstRow="0" w:lastRow="0" w:firstColumn="1" w:lastColumn="0" w:oddVBand="0" w:evenVBand="0" w:oddHBand="0" w:evenHBand="0" w:firstRowFirstColumn="0" w:firstRowLastColumn="0" w:lastRowFirstColumn="0" w:lastRowLastColumn="0"/>
            <w:tcW w:w="1271" w:type="dxa"/>
          </w:tcPr>
          <w:p w14:paraId="2FE16EAA" w14:textId="77777777" w:rsidR="005E17F2" w:rsidRPr="005E17F2" w:rsidRDefault="005E17F2" w:rsidP="00933705">
            <w:pPr>
              <w:jc w:val="center"/>
            </w:pPr>
            <w:r w:rsidRPr="005E17F2">
              <w:t>2,4,6,8</w:t>
            </w:r>
          </w:p>
        </w:tc>
        <w:tc>
          <w:tcPr>
            <w:tcW w:w="8079" w:type="dxa"/>
            <w:gridSpan w:val="2"/>
          </w:tcPr>
          <w:p w14:paraId="765F465F" w14:textId="77777777" w:rsidR="005E17F2" w:rsidRPr="005E17F2" w:rsidRDefault="005E17F2" w:rsidP="00933705">
            <w:pPr>
              <w:cnfStyle w:val="000000000000" w:firstRow="0" w:lastRow="0" w:firstColumn="0" w:lastColumn="0" w:oddVBand="0" w:evenVBand="0" w:oddHBand="0" w:evenHBand="0" w:firstRowFirstColumn="0" w:firstRowLastColumn="0" w:lastRowFirstColumn="0" w:lastRowLastColumn="0"/>
            </w:pPr>
            <w:r w:rsidRPr="005E17F2">
              <w:t>Can be used to express intermediate values</w:t>
            </w:r>
          </w:p>
        </w:tc>
      </w:tr>
    </w:tbl>
    <w:p w14:paraId="004E81C9" w14:textId="77777777" w:rsidR="005E17F2" w:rsidRPr="005E17F2" w:rsidRDefault="005E17F2" w:rsidP="005E17F2">
      <w:r w:rsidRPr="005E17F2">
        <w:tab/>
      </w:r>
    </w:p>
    <w:p w14:paraId="5ED59ABD" w14:textId="77777777" w:rsidR="005E17F2" w:rsidRPr="005E17F2" w:rsidRDefault="005E17F2" w:rsidP="005E17F2">
      <w:pPr>
        <w:spacing w:after="120"/>
        <w:jc w:val="center"/>
      </w:pPr>
      <w:r w:rsidRPr="005E17F2">
        <w:t>Table 2. Random Index (RI) Value</w:t>
      </w:r>
    </w:p>
    <w:tbl>
      <w:tblPr>
        <w:tblStyle w:val="PlainTable2"/>
        <w:tblW w:w="5000" w:type="pct"/>
        <w:tblLook w:val="04A0" w:firstRow="1" w:lastRow="0" w:firstColumn="1" w:lastColumn="0" w:noHBand="0" w:noVBand="1"/>
      </w:tblPr>
      <w:tblGrid>
        <w:gridCol w:w="590"/>
        <w:gridCol w:w="820"/>
        <w:gridCol w:w="820"/>
        <w:gridCol w:w="821"/>
        <w:gridCol w:w="821"/>
        <w:gridCol w:w="821"/>
        <w:gridCol w:w="821"/>
        <w:gridCol w:w="821"/>
        <w:gridCol w:w="821"/>
        <w:gridCol w:w="816"/>
        <w:gridCol w:w="816"/>
      </w:tblGrid>
      <w:tr w:rsidR="00825A24" w:rsidRPr="005E17F2" w14:paraId="3ED4CC1A" w14:textId="7FD5EB05" w:rsidTr="00825A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pct"/>
          </w:tcPr>
          <w:p w14:paraId="439E30A2" w14:textId="77777777" w:rsidR="00825A24" w:rsidRPr="005E17F2" w:rsidRDefault="00825A24" w:rsidP="00933705">
            <w:pPr>
              <w:jc w:val="center"/>
              <w:rPr>
                <w:b w:val="0"/>
                <w:bCs w:val="0"/>
              </w:rPr>
            </w:pPr>
            <w:r w:rsidRPr="005E17F2">
              <w:t>n</w:t>
            </w:r>
          </w:p>
        </w:tc>
        <w:tc>
          <w:tcPr>
            <w:tcW w:w="467" w:type="pct"/>
          </w:tcPr>
          <w:p w14:paraId="26BC9543"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1</w:t>
            </w:r>
          </w:p>
        </w:tc>
        <w:tc>
          <w:tcPr>
            <w:tcW w:w="467" w:type="pct"/>
          </w:tcPr>
          <w:p w14:paraId="2BB70016"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2</w:t>
            </w:r>
          </w:p>
        </w:tc>
        <w:tc>
          <w:tcPr>
            <w:tcW w:w="467" w:type="pct"/>
          </w:tcPr>
          <w:p w14:paraId="268B102E"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3</w:t>
            </w:r>
          </w:p>
        </w:tc>
        <w:tc>
          <w:tcPr>
            <w:tcW w:w="467" w:type="pct"/>
          </w:tcPr>
          <w:p w14:paraId="3FF8736D"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4</w:t>
            </w:r>
          </w:p>
        </w:tc>
        <w:tc>
          <w:tcPr>
            <w:tcW w:w="467" w:type="pct"/>
          </w:tcPr>
          <w:p w14:paraId="3970F7B6"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5</w:t>
            </w:r>
          </w:p>
        </w:tc>
        <w:tc>
          <w:tcPr>
            <w:tcW w:w="467" w:type="pct"/>
          </w:tcPr>
          <w:p w14:paraId="3DDBD629"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6</w:t>
            </w:r>
          </w:p>
        </w:tc>
        <w:tc>
          <w:tcPr>
            <w:tcW w:w="467" w:type="pct"/>
          </w:tcPr>
          <w:p w14:paraId="35B3C2F4"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7</w:t>
            </w:r>
          </w:p>
        </w:tc>
        <w:tc>
          <w:tcPr>
            <w:tcW w:w="467" w:type="pct"/>
          </w:tcPr>
          <w:p w14:paraId="4C4ADF3C"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8</w:t>
            </w:r>
          </w:p>
        </w:tc>
        <w:tc>
          <w:tcPr>
            <w:tcW w:w="464" w:type="pct"/>
          </w:tcPr>
          <w:p w14:paraId="6F62DD68" w14:textId="77777777"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5E17F2">
              <w:t>9</w:t>
            </w:r>
          </w:p>
        </w:tc>
        <w:tc>
          <w:tcPr>
            <w:tcW w:w="464" w:type="pct"/>
          </w:tcPr>
          <w:p w14:paraId="4CA609E3" w14:textId="1BADB701" w:rsidR="00825A24" w:rsidRPr="005E17F2" w:rsidRDefault="00825A24" w:rsidP="00933705">
            <w:pPr>
              <w:jc w:val="center"/>
              <w:cnfStyle w:val="100000000000" w:firstRow="1" w:lastRow="0" w:firstColumn="0" w:lastColumn="0" w:oddVBand="0" w:evenVBand="0" w:oddHBand="0" w:evenHBand="0" w:firstRowFirstColumn="0" w:firstRowLastColumn="0" w:lastRowFirstColumn="0" w:lastRowLastColumn="0"/>
            </w:pPr>
            <w:r>
              <w:t>10</w:t>
            </w:r>
          </w:p>
        </w:tc>
      </w:tr>
      <w:tr w:rsidR="00825A24" w:rsidRPr="005E17F2" w14:paraId="432C4EFA" w14:textId="18D63909"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pct"/>
          </w:tcPr>
          <w:p w14:paraId="04A6DBE3" w14:textId="77777777" w:rsidR="00825A24" w:rsidRPr="005E17F2" w:rsidRDefault="00825A24" w:rsidP="00933705">
            <w:pPr>
              <w:jc w:val="center"/>
              <w:rPr>
                <w:b w:val="0"/>
                <w:bCs w:val="0"/>
              </w:rPr>
            </w:pPr>
            <w:r w:rsidRPr="005E17F2">
              <w:t>RI</w:t>
            </w:r>
          </w:p>
        </w:tc>
        <w:tc>
          <w:tcPr>
            <w:tcW w:w="467" w:type="pct"/>
          </w:tcPr>
          <w:p w14:paraId="104E5029"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0.00</w:t>
            </w:r>
          </w:p>
        </w:tc>
        <w:tc>
          <w:tcPr>
            <w:tcW w:w="467" w:type="pct"/>
          </w:tcPr>
          <w:p w14:paraId="2765ED51"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0.00</w:t>
            </w:r>
          </w:p>
        </w:tc>
        <w:tc>
          <w:tcPr>
            <w:tcW w:w="467" w:type="pct"/>
          </w:tcPr>
          <w:p w14:paraId="0C4E0DA7"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0.58</w:t>
            </w:r>
          </w:p>
        </w:tc>
        <w:tc>
          <w:tcPr>
            <w:tcW w:w="467" w:type="pct"/>
          </w:tcPr>
          <w:p w14:paraId="296E6F40"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0.90</w:t>
            </w:r>
          </w:p>
        </w:tc>
        <w:tc>
          <w:tcPr>
            <w:tcW w:w="467" w:type="pct"/>
          </w:tcPr>
          <w:p w14:paraId="0CAEAAD7"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1.12</w:t>
            </w:r>
          </w:p>
        </w:tc>
        <w:tc>
          <w:tcPr>
            <w:tcW w:w="467" w:type="pct"/>
          </w:tcPr>
          <w:p w14:paraId="23DCC39D"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1.24</w:t>
            </w:r>
          </w:p>
        </w:tc>
        <w:tc>
          <w:tcPr>
            <w:tcW w:w="467" w:type="pct"/>
          </w:tcPr>
          <w:p w14:paraId="674918C7"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1.32</w:t>
            </w:r>
          </w:p>
        </w:tc>
        <w:tc>
          <w:tcPr>
            <w:tcW w:w="467" w:type="pct"/>
          </w:tcPr>
          <w:p w14:paraId="7A4873B7"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1.41</w:t>
            </w:r>
          </w:p>
        </w:tc>
        <w:tc>
          <w:tcPr>
            <w:tcW w:w="464" w:type="pct"/>
          </w:tcPr>
          <w:p w14:paraId="488C2320" w14:textId="77777777"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rsidRPr="005E17F2">
              <w:t>1.45</w:t>
            </w:r>
          </w:p>
        </w:tc>
        <w:tc>
          <w:tcPr>
            <w:tcW w:w="464" w:type="pct"/>
          </w:tcPr>
          <w:p w14:paraId="6D56D380" w14:textId="2BCBBFBF" w:rsidR="00825A24" w:rsidRPr="005E17F2" w:rsidRDefault="00825A24" w:rsidP="00933705">
            <w:pPr>
              <w:jc w:val="center"/>
              <w:cnfStyle w:val="000000100000" w:firstRow="0" w:lastRow="0" w:firstColumn="0" w:lastColumn="0" w:oddVBand="0" w:evenVBand="0" w:oddHBand="1" w:evenHBand="0" w:firstRowFirstColumn="0" w:firstRowLastColumn="0" w:lastRowFirstColumn="0" w:lastRowLastColumn="0"/>
            </w:pPr>
            <w:r>
              <w:t>1.49</w:t>
            </w:r>
          </w:p>
        </w:tc>
      </w:tr>
    </w:tbl>
    <w:p w14:paraId="5321020A" w14:textId="77777777" w:rsidR="005E17F2" w:rsidRDefault="005E17F2" w:rsidP="005E17F2">
      <w:pPr>
        <w:tabs>
          <w:tab w:val="left" w:pos="426"/>
        </w:tabs>
        <w:ind w:left="426"/>
        <w:rPr>
          <w:b/>
          <w:bCs/>
          <w:lang w:val="id-ID"/>
        </w:rPr>
      </w:pPr>
    </w:p>
    <w:p w14:paraId="68A07DFC" w14:textId="56A0E6F8"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p>
    <w:p w14:paraId="6670C61E" w14:textId="77777777" w:rsidR="000F279B" w:rsidRPr="003D5B84" w:rsidRDefault="000F279B" w:rsidP="00904D6D">
      <w:pPr>
        <w:rPr>
          <w:b/>
          <w:bCs/>
          <w:lang w:val="id-ID"/>
        </w:rPr>
      </w:pPr>
    </w:p>
    <w:p w14:paraId="0F6D4AA3" w14:textId="061551B8" w:rsidR="00904D6D" w:rsidRPr="005E17F2" w:rsidRDefault="00904D6D" w:rsidP="00904D6D">
      <w:pPr>
        <w:rPr>
          <w:b/>
          <w:bCs/>
        </w:rPr>
      </w:pPr>
      <w:r w:rsidRPr="003D5B84">
        <w:rPr>
          <w:b/>
          <w:bCs/>
          <w:lang w:val="id-ID"/>
        </w:rPr>
        <w:t xml:space="preserve">3.1. </w:t>
      </w:r>
      <w:r w:rsidR="00D74C5F">
        <w:rPr>
          <w:b/>
          <w:bCs/>
        </w:rPr>
        <w:t xml:space="preserve"> </w:t>
      </w:r>
      <w:r w:rsidR="005E17F2">
        <w:rPr>
          <w:b/>
          <w:bCs/>
        </w:rPr>
        <w:t>Results</w:t>
      </w:r>
    </w:p>
    <w:p w14:paraId="7888F75E" w14:textId="4F676679" w:rsidR="005E17F2" w:rsidRPr="00E368CB" w:rsidRDefault="008B7F86" w:rsidP="008B7F86">
      <w:pPr>
        <w:ind w:firstLine="720"/>
        <w:jc w:val="both"/>
      </w:pPr>
      <w:r>
        <w:t>In Table 3, the criteria listed on the left are one by one compared with each criterion listed on top depending on which one is more important with respect to the goal (determination of DF v</w:t>
      </w:r>
      <w:r w:rsidRPr="008B7F86">
        <w:t>ulnerability</w:t>
      </w:r>
      <w:r>
        <w:t xml:space="preserve"> areas)</w:t>
      </w:r>
      <w:r w:rsidRPr="008B7F86">
        <w:t xml:space="preserve"> The eigenvalue method was used to calculate the weights for each matrix. To obtain the overall priorities, we used the synthesis procedure, which required multiplying each ranking by the priority of its criterion </w:t>
      </w:r>
      <w:r>
        <w:t xml:space="preserve">and sub </w:t>
      </w:r>
      <w:r w:rsidRPr="008B7F86">
        <w:t xml:space="preserve">criterion and adding the resulting weights for each alternative to obtain its final priority. The weight assign to each criterion </w:t>
      </w:r>
      <w:r>
        <w:t xml:space="preserve">and sub </w:t>
      </w:r>
      <w:r w:rsidRPr="008B7F86">
        <w:t xml:space="preserve">criterion to determine </w:t>
      </w:r>
      <w:r>
        <w:t>DF v</w:t>
      </w:r>
      <w:r w:rsidRPr="008B7F86">
        <w:t>ulnerability are in Tables 4</w:t>
      </w:r>
      <w:r>
        <w:t xml:space="preserve"> and 6</w:t>
      </w:r>
      <w:r w:rsidRPr="008B7F86">
        <w:t>.</w:t>
      </w:r>
    </w:p>
    <w:p w14:paraId="5944DA56" w14:textId="77777777" w:rsidR="008B7F86" w:rsidRDefault="008B7F86" w:rsidP="008B7F86">
      <w:pPr>
        <w:jc w:val="both"/>
      </w:pPr>
    </w:p>
    <w:p w14:paraId="3986D6BF" w14:textId="142B3960" w:rsidR="005E17F2" w:rsidRDefault="005E17F2" w:rsidP="00B768AE">
      <w:pPr>
        <w:spacing w:after="120"/>
        <w:jc w:val="center"/>
      </w:pPr>
      <w:r>
        <w:t>Table 3.</w:t>
      </w:r>
      <w:r w:rsidR="004E07F4">
        <w:t xml:space="preserve"> Pair-wise comparison matrix</w:t>
      </w:r>
    </w:p>
    <w:tbl>
      <w:tblPr>
        <w:tblStyle w:val="PlainTable2"/>
        <w:tblW w:w="5000" w:type="pct"/>
        <w:tblLook w:val="04A0" w:firstRow="1" w:lastRow="0" w:firstColumn="1" w:lastColumn="0" w:noHBand="0" w:noVBand="1"/>
      </w:tblPr>
      <w:tblGrid>
        <w:gridCol w:w="1895"/>
        <w:gridCol w:w="1181"/>
        <w:gridCol w:w="1007"/>
        <w:gridCol w:w="1283"/>
        <w:gridCol w:w="1120"/>
        <w:gridCol w:w="1179"/>
        <w:gridCol w:w="1123"/>
      </w:tblGrid>
      <w:tr w:rsidR="005E17F2" w:rsidRPr="005E17F2" w14:paraId="288E9B6B" w14:textId="77777777" w:rsidTr="005E17F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04E93222" w14:textId="77777777" w:rsidR="005E17F2" w:rsidRPr="005E17F2" w:rsidRDefault="005E17F2" w:rsidP="00933705">
            <w:pPr>
              <w:jc w:val="center"/>
              <w:rPr>
                <w:b w:val="0"/>
                <w:bCs w:val="0"/>
                <w:color w:val="000000"/>
                <w:lang w:val="en-ID" w:eastAsia="en-ID"/>
              </w:rPr>
            </w:pPr>
            <w:r w:rsidRPr="005E17F2">
              <w:rPr>
                <w:color w:val="000000"/>
                <w:lang w:val="en-ID" w:eastAsia="en-ID"/>
              </w:rPr>
              <w:t>DHF Vulnerability Class</w:t>
            </w:r>
          </w:p>
        </w:tc>
        <w:tc>
          <w:tcPr>
            <w:tcW w:w="672" w:type="pct"/>
            <w:hideMark/>
          </w:tcPr>
          <w:p w14:paraId="0135068A"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PD</w:t>
            </w:r>
          </w:p>
        </w:tc>
        <w:tc>
          <w:tcPr>
            <w:tcW w:w="573" w:type="pct"/>
            <w:hideMark/>
          </w:tcPr>
          <w:p w14:paraId="6A489AD8"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DR</w:t>
            </w:r>
          </w:p>
        </w:tc>
        <w:tc>
          <w:tcPr>
            <w:tcW w:w="730" w:type="pct"/>
            <w:hideMark/>
          </w:tcPr>
          <w:p w14:paraId="7E6951F1"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REF</w:t>
            </w:r>
          </w:p>
        </w:tc>
        <w:tc>
          <w:tcPr>
            <w:tcW w:w="637" w:type="pct"/>
            <w:hideMark/>
          </w:tcPr>
          <w:p w14:paraId="2979916C"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ROA</w:t>
            </w:r>
          </w:p>
        </w:tc>
        <w:tc>
          <w:tcPr>
            <w:tcW w:w="671" w:type="pct"/>
            <w:hideMark/>
          </w:tcPr>
          <w:p w14:paraId="37CCB447"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RHF</w:t>
            </w:r>
          </w:p>
        </w:tc>
        <w:tc>
          <w:tcPr>
            <w:tcW w:w="639" w:type="pct"/>
            <w:hideMark/>
          </w:tcPr>
          <w:p w14:paraId="432CCBAE" w14:textId="77777777" w:rsidR="005E17F2" w:rsidRPr="005E17F2"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E17F2">
              <w:rPr>
                <w:color w:val="000000"/>
                <w:lang w:val="en-ID" w:eastAsia="en-ID"/>
              </w:rPr>
              <w:t>LU</w:t>
            </w:r>
          </w:p>
        </w:tc>
      </w:tr>
      <w:tr w:rsidR="005E17F2" w:rsidRPr="005E17F2" w14:paraId="637D7C1A"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01ED1D1C" w14:textId="77777777" w:rsidR="005E17F2" w:rsidRPr="005E17F2" w:rsidRDefault="005E17F2" w:rsidP="00933705">
            <w:pPr>
              <w:rPr>
                <w:color w:val="000000"/>
                <w:lang w:val="en-ID" w:eastAsia="en-ID"/>
              </w:rPr>
            </w:pPr>
            <w:r w:rsidRPr="005E17F2">
              <w:rPr>
                <w:color w:val="000000"/>
                <w:lang w:val="en-ID" w:eastAsia="en-ID"/>
              </w:rPr>
              <w:t>PD</w:t>
            </w:r>
          </w:p>
        </w:tc>
        <w:tc>
          <w:tcPr>
            <w:tcW w:w="672" w:type="pct"/>
            <w:hideMark/>
          </w:tcPr>
          <w:p w14:paraId="0082685C"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1.00</w:t>
            </w:r>
          </w:p>
        </w:tc>
        <w:tc>
          <w:tcPr>
            <w:tcW w:w="573" w:type="pct"/>
            <w:hideMark/>
          </w:tcPr>
          <w:p w14:paraId="25EA32D8"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2.00</w:t>
            </w:r>
          </w:p>
        </w:tc>
        <w:tc>
          <w:tcPr>
            <w:tcW w:w="730" w:type="pct"/>
            <w:hideMark/>
          </w:tcPr>
          <w:p w14:paraId="24AD5365"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637" w:type="pct"/>
            <w:hideMark/>
          </w:tcPr>
          <w:p w14:paraId="2865029A"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671" w:type="pct"/>
            <w:hideMark/>
          </w:tcPr>
          <w:p w14:paraId="462192EB"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639" w:type="pct"/>
            <w:hideMark/>
          </w:tcPr>
          <w:p w14:paraId="110E0FB6"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7.00</w:t>
            </w:r>
          </w:p>
        </w:tc>
      </w:tr>
      <w:tr w:rsidR="005E17F2" w:rsidRPr="005E17F2" w14:paraId="2F82202B"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600EDA1E" w14:textId="77777777" w:rsidR="005E17F2" w:rsidRPr="005E17F2" w:rsidRDefault="005E17F2" w:rsidP="00933705">
            <w:pPr>
              <w:rPr>
                <w:color w:val="000000"/>
                <w:lang w:val="en-ID" w:eastAsia="en-ID"/>
              </w:rPr>
            </w:pPr>
            <w:r w:rsidRPr="005E17F2">
              <w:rPr>
                <w:color w:val="000000"/>
                <w:lang w:val="en-ID" w:eastAsia="en-ID"/>
              </w:rPr>
              <w:t>DR</w:t>
            </w:r>
          </w:p>
        </w:tc>
        <w:tc>
          <w:tcPr>
            <w:tcW w:w="672" w:type="pct"/>
            <w:hideMark/>
          </w:tcPr>
          <w:p w14:paraId="34D2A796"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0.50</w:t>
            </w:r>
          </w:p>
        </w:tc>
        <w:tc>
          <w:tcPr>
            <w:tcW w:w="573" w:type="pct"/>
            <w:hideMark/>
          </w:tcPr>
          <w:p w14:paraId="1073F48B"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1.00</w:t>
            </w:r>
          </w:p>
        </w:tc>
        <w:tc>
          <w:tcPr>
            <w:tcW w:w="730" w:type="pct"/>
            <w:hideMark/>
          </w:tcPr>
          <w:p w14:paraId="4B79442C"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4.00</w:t>
            </w:r>
          </w:p>
        </w:tc>
        <w:tc>
          <w:tcPr>
            <w:tcW w:w="637" w:type="pct"/>
            <w:hideMark/>
          </w:tcPr>
          <w:p w14:paraId="0639375C"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4.00</w:t>
            </w:r>
          </w:p>
        </w:tc>
        <w:tc>
          <w:tcPr>
            <w:tcW w:w="671" w:type="pct"/>
            <w:hideMark/>
          </w:tcPr>
          <w:p w14:paraId="5C0D830F"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0.33</w:t>
            </w:r>
          </w:p>
        </w:tc>
        <w:tc>
          <w:tcPr>
            <w:tcW w:w="639" w:type="pct"/>
            <w:hideMark/>
          </w:tcPr>
          <w:p w14:paraId="0D69D0F6"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5.00</w:t>
            </w:r>
          </w:p>
        </w:tc>
      </w:tr>
      <w:tr w:rsidR="005E17F2" w:rsidRPr="005E17F2" w14:paraId="10DC9486"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2E18F14E" w14:textId="77777777" w:rsidR="005E17F2" w:rsidRPr="005E17F2" w:rsidRDefault="005E17F2" w:rsidP="00933705">
            <w:pPr>
              <w:rPr>
                <w:color w:val="000000"/>
                <w:lang w:val="en-ID" w:eastAsia="en-ID"/>
              </w:rPr>
            </w:pPr>
            <w:r w:rsidRPr="005E17F2">
              <w:rPr>
                <w:color w:val="000000"/>
                <w:lang w:val="en-ID" w:eastAsia="en-ID"/>
              </w:rPr>
              <w:t>REF</w:t>
            </w:r>
          </w:p>
        </w:tc>
        <w:tc>
          <w:tcPr>
            <w:tcW w:w="672" w:type="pct"/>
            <w:hideMark/>
          </w:tcPr>
          <w:p w14:paraId="0DEE1574"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0.33</w:t>
            </w:r>
          </w:p>
        </w:tc>
        <w:tc>
          <w:tcPr>
            <w:tcW w:w="573" w:type="pct"/>
            <w:hideMark/>
          </w:tcPr>
          <w:p w14:paraId="01B9CE00"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0.25</w:t>
            </w:r>
          </w:p>
        </w:tc>
        <w:tc>
          <w:tcPr>
            <w:tcW w:w="730" w:type="pct"/>
            <w:hideMark/>
          </w:tcPr>
          <w:p w14:paraId="502074B8"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1.00</w:t>
            </w:r>
          </w:p>
        </w:tc>
        <w:tc>
          <w:tcPr>
            <w:tcW w:w="637" w:type="pct"/>
            <w:hideMark/>
          </w:tcPr>
          <w:p w14:paraId="082AA2D2"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2.00</w:t>
            </w:r>
          </w:p>
        </w:tc>
        <w:tc>
          <w:tcPr>
            <w:tcW w:w="671" w:type="pct"/>
            <w:hideMark/>
          </w:tcPr>
          <w:p w14:paraId="66B512F3"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0.33</w:t>
            </w:r>
          </w:p>
        </w:tc>
        <w:tc>
          <w:tcPr>
            <w:tcW w:w="639" w:type="pct"/>
            <w:hideMark/>
          </w:tcPr>
          <w:p w14:paraId="4BA4EB1D"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r>
      <w:tr w:rsidR="005E17F2" w:rsidRPr="005E17F2" w14:paraId="156F2838"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793A9C1D" w14:textId="77777777" w:rsidR="005E17F2" w:rsidRPr="005E17F2" w:rsidRDefault="005E17F2" w:rsidP="00933705">
            <w:pPr>
              <w:rPr>
                <w:color w:val="000000"/>
                <w:lang w:val="en-ID" w:eastAsia="en-ID"/>
              </w:rPr>
            </w:pPr>
            <w:r w:rsidRPr="005E17F2">
              <w:rPr>
                <w:color w:val="000000"/>
                <w:lang w:val="en-ID" w:eastAsia="en-ID"/>
              </w:rPr>
              <w:lastRenderedPageBreak/>
              <w:t>ROA</w:t>
            </w:r>
          </w:p>
        </w:tc>
        <w:tc>
          <w:tcPr>
            <w:tcW w:w="672" w:type="pct"/>
            <w:hideMark/>
          </w:tcPr>
          <w:p w14:paraId="5883F0A8"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0.33</w:t>
            </w:r>
          </w:p>
        </w:tc>
        <w:tc>
          <w:tcPr>
            <w:tcW w:w="573" w:type="pct"/>
            <w:hideMark/>
          </w:tcPr>
          <w:p w14:paraId="58B43B11"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0.25</w:t>
            </w:r>
          </w:p>
        </w:tc>
        <w:tc>
          <w:tcPr>
            <w:tcW w:w="730" w:type="pct"/>
            <w:hideMark/>
          </w:tcPr>
          <w:p w14:paraId="154AD372"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0.50</w:t>
            </w:r>
          </w:p>
        </w:tc>
        <w:tc>
          <w:tcPr>
            <w:tcW w:w="637" w:type="pct"/>
            <w:hideMark/>
          </w:tcPr>
          <w:p w14:paraId="729E6ED7"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1.00</w:t>
            </w:r>
          </w:p>
        </w:tc>
        <w:tc>
          <w:tcPr>
            <w:tcW w:w="671" w:type="pct"/>
            <w:hideMark/>
          </w:tcPr>
          <w:p w14:paraId="430F1150"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0.33</w:t>
            </w:r>
          </w:p>
        </w:tc>
        <w:tc>
          <w:tcPr>
            <w:tcW w:w="639" w:type="pct"/>
            <w:hideMark/>
          </w:tcPr>
          <w:p w14:paraId="3417F06C"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3.00</w:t>
            </w:r>
          </w:p>
        </w:tc>
      </w:tr>
      <w:tr w:rsidR="005E17F2" w:rsidRPr="005E17F2" w14:paraId="7DD28512"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64669CAC" w14:textId="77777777" w:rsidR="005E17F2" w:rsidRPr="005E17F2" w:rsidRDefault="005E17F2" w:rsidP="00933705">
            <w:pPr>
              <w:rPr>
                <w:color w:val="000000"/>
                <w:lang w:val="en-ID" w:eastAsia="en-ID"/>
              </w:rPr>
            </w:pPr>
            <w:r w:rsidRPr="005E17F2">
              <w:rPr>
                <w:color w:val="000000"/>
                <w:lang w:val="en-ID" w:eastAsia="en-ID"/>
              </w:rPr>
              <w:t>RHF</w:t>
            </w:r>
          </w:p>
        </w:tc>
        <w:tc>
          <w:tcPr>
            <w:tcW w:w="672" w:type="pct"/>
            <w:hideMark/>
          </w:tcPr>
          <w:p w14:paraId="4F955264"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0.33</w:t>
            </w:r>
          </w:p>
        </w:tc>
        <w:tc>
          <w:tcPr>
            <w:tcW w:w="573" w:type="pct"/>
            <w:hideMark/>
          </w:tcPr>
          <w:p w14:paraId="2E86B35A"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730" w:type="pct"/>
            <w:hideMark/>
          </w:tcPr>
          <w:p w14:paraId="009B4231"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637" w:type="pct"/>
            <w:hideMark/>
          </w:tcPr>
          <w:p w14:paraId="5F46F1A5"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3.00</w:t>
            </w:r>
          </w:p>
        </w:tc>
        <w:tc>
          <w:tcPr>
            <w:tcW w:w="671" w:type="pct"/>
            <w:hideMark/>
          </w:tcPr>
          <w:p w14:paraId="3FB1285A"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1.00</w:t>
            </w:r>
          </w:p>
        </w:tc>
        <w:tc>
          <w:tcPr>
            <w:tcW w:w="639" w:type="pct"/>
            <w:hideMark/>
          </w:tcPr>
          <w:p w14:paraId="0A65C8BC" w14:textId="77777777" w:rsidR="005E17F2" w:rsidRPr="005E17F2"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E17F2">
              <w:rPr>
                <w:color w:val="000000"/>
                <w:lang w:val="en-ID" w:eastAsia="en-ID"/>
              </w:rPr>
              <w:t>5.00</w:t>
            </w:r>
          </w:p>
        </w:tc>
      </w:tr>
      <w:tr w:rsidR="005E17F2" w:rsidRPr="005E17F2" w14:paraId="6C3CB7BC"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1078" w:type="pct"/>
            <w:hideMark/>
          </w:tcPr>
          <w:p w14:paraId="10480D43" w14:textId="77777777" w:rsidR="005E17F2" w:rsidRPr="005E17F2" w:rsidRDefault="005E17F2" w:rsidP="00933705">
            <w:pPr>
              <w:rPr>
                <w:color w:val="000000"/>
                <w:lang w:val="en-ID" w:eastAsia="en-ID"/>
              </w:rPr>
            </w:pPr>
            <w:r w:rsidRPr="005E17F2">
              <w:rPr>
                <w:color w:val="000000"/>
                <w:lang w:val="en-ID" w:eastAsia="en-ID"/>
              </w:rPr>
              <w:t>LU</w:t>
            </w:r>
          </w:p>
        </w:tc>
        <w:tc>
          <w:tcPr>
            <w:tcW w:w="672" w:type="pct"/>
            <w:hideMark/>
          </w:tcPr>
          <w:p w14:paraId="3731716C"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0.14</w:t>
            </w:r>
          </w:p>
        </w:tc>
        <w:tc>
          <w:tcPr>
            <w:tcW w:w="573" w:type="pct"/>
            <w:hideMark/>
          </w:tcPr>
          <w:p w14:paraId="7ED90AE8"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0.20</w:t>
            </w:r>
          </w:p>
        </w:tc>
        <w:tc>
          <w:tcPr>
            <w:tcW w:w="730" w:type="pct"/>
            <w:hideMark/>
          </w:tcPr>
          <w:p w14:paraId="67845BD7"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0.33</w:t>
            </w:r>
          </w:p>
        </w:tc>
        <w:tc>
          <w:tcPr>
            <w:tcW w:w="637" w:type="pct"/>
            <w:hideMark/>
          </w:tcPr>
          <w:p w14:paraId="5BC44728"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0.33</w:t>
            </w:r>
          </w:p>
        </w:tc>
        <w:tc>
          <w:tcPr>
            <w:tcW w:w="671" w:type="pct"/>
            <w:hideMark/>
          </w:tcPr>
          <w:p w14:paraId="13EAB3A2"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0.20</w:t>
            </w:r>
          </w:p>
        </w:tc>
        <w:tc>
          <w:tcPr>
            <w:tcW w:w="639" w:type="pct"/>
            <w:hideMark/>
          </w:tcPr>
          <w:p w14:paraId="2DFA091F" w14:textId="77777777" w:rsidR="005E17F2" w:rsidRPr="005E17F2"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E17F2">
              <w:rPr>
                <w:color w:val="000000"/>
                <w:lang w:val="en-ID" w:eastAsia="en-ID"/>
              </w:rPr>
              <w:t>1.00</w:t>
            </w:r>
          </w:p>
        </w:tc>
      </w:tr>
    </w:tbl>
    <w:p w14:paraId="7061A074" w14:textId="77777777" w:rsidR="005E17F2" w:rsidRDefault="005E17F2" w:rsidP="005E17F2">
      <w:pPr>
        <w:rPr>
          <w:rFonts w:cs="Calibri"/>
          <w:color w:val="000000"/>
          <w:sz w:val="16"/>
          <w:szCs w:val="16"/>
          <w:lang w:val="en-ID" w:eastAsia="en-ID"/>
        </w:rPr>
      </w:pPr>
      <w:r w:rsidRPr="00982A5C">
        <w:rPr>
          <w:sz w:val="16"/>
          <w:szCs w:val="16"/>
        </w:rPr>
        <w:t xml:space="preserve">Note: </w:t>
      </w:r>
      <w:r w:rsidRPr="00982A5C">
        <w:rPr>
          <w:rFonts w:cs="Calibri"/>
          <w:color w:val="000000"/>
          <w:sz w:val="16"/>
          <w:szCs w:val="16"/>
          <w:lang w:val="en-ID" w:eastAsia="en-ID"/>
        </w:rPr>
        <w:t xml:space="preserve">PD is </w:t>
      </w:r>
      <w:r w:rsidRPr="00C97649">
        <w:rPr>
          <w:rFonts w:cs="Calibri"/>
          <w:color w:val="000000"/>
          <w:sz w:val="16"/>
          <w:szCs w:val="16"/>
          <w:lang w:val="en-ID" w:eastAsia="en-ID"/>
        </w:rPr>
        <w:t>Population Density</w:t>
      </w:r>
      <w:r w:rsidRPr="00982A5C">
        <w:rPr>
          <w:rFonts w:cs="Calibri"/>
          <w:color w:val="000000"/>
          <w:sz w:val="16"/>
          <w:szCs w:val="16"/>
          <w:lang w:val="en-ID" w:eastAsia="en-ID"/>
        </w:rPr>
        <w:t xml:space="preserve">; DR is </w:t>
      </w:r>
      <w:r w:rsidRPr="00C97649">
        <w:rPr>
          <w:rFonts w:cs="Calibri"/>
          <w:color w:val="000000"/>
          <w:sz w:val="16"/>
          <w:szCs w:val="16"/>
          <w:lang w:val="en-ID" w:eastAsia="en-ID"/>
        </w:rPr>
        <w:t xml:space="preserve">Distance to The </w:t>
      </w:r>
      <w:proofErr w:type="gramStart"/>
      <w:r w:rsidRPr="00C97649">
        <w:rPr>
          <w:rFonts w:cs="Calibri"/>
          <w:color w:val="000000"/>
          <w:sz w:val="16"/>
          <w:szCs w:val="16"/>
          <w:lang w:val="en-ID" w:eastAsia="en-ID"/>
        </w:rPr>
        <w:t>Road</w:t>
      </w:r>
      <w:r w:rsidRPr="00982A5C">
        <w:rPr>
          <w:rFonts w:cs="Calibri"/>
          <w:color w:val="000000"/>
          <w:sz w:val="16"/>
          <w:szCs w:val="16"/>
          <w:lang w:val="en-ID" w:eastAsia="en-ID"/>
        </w:rPr>
        <w:t>;  REF</w:t>
      </w:r>
      <w:proofErr w:type="gramEnd"/>
      <w:r w:rsidRPr="00982A5C">
        <w:rPr>
          <w:rFonts w:cs="Calibri"/>
          <w:color w:val="000000"/>
          <w:sz w:val="16"/>
          <w:szCs w:val="16"/>
          <w:lang w:val="en-ID" w:eastAsia="en-ID"/>
        </w:rPr>
        <w:t xml:space="preserve"> is </w:t>
      </w:r>
      <w:r w:rsidRPr="00C97649">
        <w:rPr>
          <w:rFonts w:cs="Calibri"/>
          <w:color w:val="000000"/>
          <w:sz w:val="16"/>
          <w:szCs w:val="16"/>
          <w:lang w:val="en-ID" w:eastAsia="en-ID"/>
        </w:rPr>
        <w:t>Radius of Educational Facilities</w:t>
      </w:r>
      <w:r w:rsidRPr="00982A5C">
        <w:rPr>
          <w:rFonts w:cs="Calibri"/>
          <w:color w:val="000000"/>
          <w:sz w:val="16"/>
          <w:szCs w:val="16"/>
          <w:lang w:val="en-ID" w:eastAsia="en-ID"/>
        </w:rPr>
        <w:t xml:space="preserve">; ROA is </w:t>
      </w:r>
      <w:r w:rsidRPr="00C97649">
        <w:rPr>
          <w:rFonts w:cs="Calibri"/>
          <w:color w:val="000000"/>
          <w:sz w:val="16"/>
          <w:szCs w:val="16"/>
          <w:lang w:val="en-ID" w:eastAsia="en-ID"/>
        </w:rPr>
        <w:t>Radius of Office Area</w:t>
      </w:r>
      <w:r w:rsidRPr="00982A5C">
        <w:rPr>
          <w:rFonts w:cs="Calibri"/>
          <w:color w:val="000000"/>
          <w:sz w:val="16"/>
          <w:szCs w:val="16"/>
          <w:lang w:val="en-ID" w:eastAsia="en-ID"/>
        </w:rPr>
        <w:t xml:space="preserve">; RHF is </w:t>
      </w:r>
      <w:r w:rsidRPr="00C97649">
        <w:rPr>
          <w:rFonts w:cs="Calibri"/>
          <w:color w:val="000000"/>
          <w:sz w:val="16"/>
          <w:szCs w:val="16"/>
          <w:lang w:val="en-ID" w:eastAsia="en-ID"/>
        </w:rPr>
        <w:t>Radius of Health Facilities</w:t>
      </w:r>
      <w:r w:rsidRPr="00982A5C">
        <w:rPr>
          <w:rFonts w:cs="Calibri"/>
          <w:color w:val="000000"/>
          <w:sz w:val="16"/>
          <w:szCs w:val="16"/>
          <w:lang w:val="en-ID" w:eastAsia="en-ID"/>
        </w:rPr>
        <w:t>; and LU is Land Use</w:t>
      </w:r>
    </w:p>
    <w:p w14:paraId="6C557767" w14:textId="5C995BFF" w:rsidR="005E17F2" w:rsidRPr="00E368CB" w:rsidRDefault="005E17F2" w:rsidP="00B768AE">
      <w:pPr>
        <w:spacing w:before="120" w:after="120"/>
        <w:jc w:val="center"/>
      </w:pPr>
      <w:r>
        <w:t>Table 4.</w:t>
      </w:r>
      <w:r w:rsidR="00825A24">
        <w:t xml:space="preserve"> </w:t>
      </w:r>
      <w:r w:rsidR="004E07F4">
        <w:t>W</w:t>
      </w:r>
      <w:r w:rsidR="00825A24" w:rsidRPr="00825A24">
        <w:t>eight of factors</w:t>
      </w:r>
    </w:p>
    <w:tbl>
      <w:tblPr>
        <w:tblStyle w:val="PlainTable2"/>
        <w:tblW w:w="5000" w:type="pct"/>
        <w:tblLook w:val="04A0" w:firstRow="1" w:lastRow="0" w:firstColumn="1" w:lastColumn="0" w:noHBand="0" w:noVBand="1"/>
      </w:tblPr>
      <w:tblGrid>
        <w:gridCol w:w="1444"/>
        <w:gridCol w:w="1134"/>
        <w:gridCol w:w="967"/>
        <w:gridCol w:w="1239"/>
        <w:gridCol w:w="812"/>
        <w:gridCol w:w="968"/>
        <w:gridCol w:w="633"/>
        <w:gridCol w:w="698"/>
        <w:gridCol w:w="893"/>
      </w:tblGrid>
      <w:tr w:rsidR="005E17F2" w:rsidRPr="00C97649" w14:paraId="239F384F" w14:textId="77777777" w:rsidTr="005E17F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25D28E99" w14:textId="77777777" w:rsidR="005E17F2" w:rsidRPr="00C97649" w:rsidRDefault="005E17F2" w:rsidP="00933705">
            <w:pPr>
              <w:jc w:val="center"/>
              <w:rPr>
                <w:rFonts w:cs="Calibri"/>
                <w:b w:val="0"/>
                <w:bCs w:val="0"/>
                <w:color w:val="000000"/>
                <w:lang w:val="en-ID" w:eastAsia="en-ID"/>
              </w:rPr>
            </w:pPr>
            <w:r w:rsidRPr="00C97649">
              <w:rPr>
                <w:rFonts w:cs="Calibri"/>
                <w:color w:val="000000"/>
                <w:lang w:val="en-ID" w:eastAsia="en-ID"/>
              </w:rPr>
              <w:t>DHF Vulnerability Class</w:t>
            </w:r>
          </w:p>
        </w:tc>
        <w:tc>
          <w:tcPr>
            <w:tcW w:w="645" w:type="pct"/>
            <w:hideMark/>
          </w:tcPr>
          <w:p w14:paraId="19B557E1"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PD</w:t>
            </w:r>
          </w:p>
        </w:tc>
        <w:tc>
          <w:tcPr>
            <w:tcW w:w="550" w:type="pct"/>
            <w:hideMark/>
          </w:tcPr>
          <w:p w14:paraId="5CF9137A"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DR</w:t>
            </w:r>
          </w:p>
        </w:tc>
        <w:tc>
          <w:tcPr>
            <w:tcW w:w="705" w:type="pct"/>
            <w:hideMark/>
          </w:tcPr>
          <w:p w14:paraId="5A6D06C3"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REF</w:t>
            </w:r>
          </w:p>
        </w:tc>
        <w:tc>
          <w:tcPr>
            <w:tcW w:w="462" w:type="pct"/>
            <w:hideMark/>
          </w:tcPr>
          <w:p w14:paraId="23A93FB5"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ROA</w:t>
            </w:r>
          </w:p>
        </w:tc>
        <w:tc>
          <w:tcPr>
            <w:tcW w:w="551" w:type="pct"/>
            <w:hideMark/>
          </w:tcPr>
          <w:p w14:paraId="2EFDC691"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RHF</w:t>
            </w:r>
          </w:p>
        </w:tc>
        <w:tc>
          <w:tcPr>
            <w:tcW w:w="360" w:type="pct"/>
            <w:hideMark/>
          </w:tcPr>
          <w:p w14:paraId="58B76AE9"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982A5C">
              <w:rPr>
                <w:rFonts w:cs="Calibri"/>
                <w:color w:val="000000"/>
                <w:lang w:val="en-ID" w:eastAsia="en-ID"/>
              </w:rPr>
              <w:t>LU</w:t>
            </w:r>
          </w:p>
        </w:tc>
        <w:tc>
          <w:tcPr>
            <w:tcW w:w="397" w:type="pct"/>
            <w:hideMark/>
          </w:tcPr>
          <w:p w14:paraId="0F8D5C5E"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C97649">
              <w:rPr>
                <w:rFonts w:cs="Calibri"/>
                <w:color w:val="000000"/>
                <w:lang w:val="en-ID" w:eastAsia="en-ID"/>
              </w:rPr>
              <w:t>Total</w:t>
            </w:r>
          </w:p>
        </w:tc>
        <w:tc>
          <w:tcPr>
            <w:tcW w:w="508" w:type="pct"/>
            <w:hideMark/>
          </w:tcPr>
          <w:p w14:paraId="3D1D2EF5" w14:textId="77777777" w:rsidR="005E17F2" w:rsidRPr="00C97649"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C97649">
              <w:rPr>
                <w:rFonts w:cs="Calibri"/>
                <w:color w:val="000000"/>
                <w:lang w:val="en-ID" w:eastAsia="en-ID"/>
              </w:rPr>
              <w:t>Weight Vector</w:t>
            </w:r>
          </w:p>
        </w:tc>
      </w:tr>
      <w:tr w:rsidR="005E17F2" w:rsidRPr="00C97649" w14:paraId="34F8F0E3"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2E3FF73B" w14:textId="77777777" w:rsidR="005E17F2" w:rsidRPr="00C97649" w:rsidRDefault="005E17F2" w:rsidP="00933705">
            <w:pPr>
              <w:rPr>
                <w:rFonts w:cs="Calibri"/>
                <w:color w:val="000000"/>
                <w:lang w:val="en-ID" w:eastAsia="en-ID"/>
              </w:rPr>
            </w:pPr>
            <w:r>
              <w:rPr>
                <w:rFonts w:cs="Calibri"/>
                <w:color w:val="000000"/>
                <w:lang w:val="en-ID" w:eastAsia="en-ID"/>
              </w:rPr>
              <w:t>PD</w:t>
            </w:r>
          </w:p>
        </w:tc>
        <w:tc>
          <w:tcPr>
            <w:tcW w:w="645" w:type="pct"/>
            <w:hideMark/>
          </w:tcPr>
          <w:p w14:paraId="66FC65AD"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0.38</w:t>
            </w:r>
          </w:p>
        </w:tc>
        <w:tc>
          <w:tcPr>
            <w:tcW w:w="550" w:type="pct"/>
            <w:hideMark/>
          </w:tcPr>
          <w:p w14:paraId="7BD5967B"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0.30</w:t>
            </w:r>
          </w:p>
        </w:tc>
        <w:tc>
          <w:tcPr>
            <w:tcW w:w="705" w:type="pct"/>
            <w:hideMark/>
          </w:tcPr>
          <w:p w14:paraId="4BFAD775"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0.25</w:t>
            </w:r>
          </w:p>
        </w:tc>
        <w:tc>
          <w:tcPr>
            <w:tcW w:w="462" w:type="pct"/>
            <w:hideMark/>
          </w:tcPr>
          <w:p w14:paraId="71287732"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0.23</w:t>
            </w:r>
          </w:p>
        </w:tc>
        <w:tc>
          <w:tcPr>
            <w:tcW w:w="551" w:type="pct"/>
            <w:hideMark/>
          </w:tcPr>
          <w:p w14:paraId="3871B53F"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0.58</w:t>
            </w:r>
          </w:p>
        </w:tc>
        <w:tc>
          <w:tcPr>
            <w:tcW w:w="360" w:type="pct"/>
            <w:hideMark/>
          </w:tcPr>
          <w:p w14:paraId="7D4303EE"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0.29</w:t>
            </w:r>
          </w:p>
        </w:tc>
        <w:tc>
          <w:tcPr>
            <w:tcW w:w="397" w:type="pct"/>
            <w:noWrap/>
            <w:hideMark/>
          </w:tcPr>
          <w:p w14:paraId="0EFABDB2"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2.02</w:t>
            </w:r>
          </w:p>
        </w:tc>
        <w:tc>
          <w:tcPr>
            <w:tcW w:w="508" w:type="pct"/>
            <w:noWrap/>
            <w:hideMark/>
          </w:tcPr>
          <w:p w14:paraId="444C0F6F"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0.34</w:t>
            </w:r>
          </w:p>
        </w:tc>
      </w:tr>
      <w:tr w:rsidR="005E17F2" w:rsidRPr="00C97649" w14:paraId="6E4F4034"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4D3E0CF4" w14:textId="77777777" w:rsidR="005E17F2" w:rsidRPr="00C97649" w:rsidRDefault="005E17F2" w:rsidP="00933705">
            <w:pPr>
              <w:rPr>
                <w:rFonts w:cs="Calibri"/>
                <w:color w:val="000000"/>
                <w:lang w:val="en-ID" w:eastAsia="en-ID"/>
              </w:rPr>
            </w:pPr>
            <w:r>
              <w:rPr>
                <w:rFonts w:cs="Calibri"/>
                <w:color w:val="000000"/>
                <w:lang w:val="en-ID" w:eastAsia="en-ID"/>
              </w:rPr>
              <w:t>DR</w:t>
            </w:r>
          </w:p>
        </w:tc>
        <w:tc>
          <w:tcPr>
            <w:tcW w:w="645" w:type="pct"/>
            <w:hideMark/>
          </w:tcPr>
          <w:p w14:paraId="6083DA55"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0.19</w:t>
            </w:r>
          </w:p>
        </w:tc>
        <w:tc>
          <w:tcPr>
            <w:tcW w:w="550" w:type="pct"/>
            <w:hideMark/>
          </w:tcPr>
          <w:p w14:paraId="3D5BEC16"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0.15</w:t>
            </w:r>
          </w:p>
        </w:tc>
        <w:tc>
          <w:tcPr>
            <w:tcW w:w="705" w:type="pct"/>
            <w:hideMark/>
          </w:tcPr>
          <w:p w14:paraId="0A7CCF7A"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0.34</w:t>
            </w:r>
          </w:p>
        </w:tc>
        <w:tc>
          <w:tcPr>
            <w:tcW w:w="462" w:type="pct"/>
            <w:hideMark/>
          </w:tcPr>
          <w:p w14:paraId="713039BC"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0.30</w:t>
            </w:r>
          </w:p>
        </w:tc>
        <w:tc>
          <w:tcPr>
            <w:tcW w:w="551" w:type="pct"/>
            <w:hideMark/>
          </w:tcPr>
          <w:p w14:paraId="6223C6E6"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0.06</w:t>
            </w:r>
          </w:p>
        </w:tc>
        <w:tc>
          <w:tcPr>
            <w:tcW w:w="360" w:type="pct"/>
            <w:hideMark/>
          </w:tcPr>
          <w:p w14:paraId="11924B16"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0.21</w:t>
            </w:r>
          </w:p>
        </w:tc>
        <w:tc>
          <w:tcPr>
            <w:tcW w:w="397" w:type="pct"/>
            <w:noWrap/>
            <w:hideMark/>
          </w:tcPr>
          <w:p w14:paraId="34574330"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1.25</w:t>
            </w:r>
          </w:p>
        </w:tc>
        <w:tc>
          <w:tcPr>
            <w:tcW w:w="508" w:type="pct"/>
            <w:noWrap/>
            <w:hideMark/>
          </w:tcPr>
          <w:p w14:paraId="12B96B1F"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0.21</w:t>
            </w:r>
          </w:p>
        </w:tc>
      </w:tr>
      <w:tr w:rsidR="005E17F2" w:rsidRPr="00C97649" w14:paraId="3B459258"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715EF0B7" w14:textId="77777777" w:rsidR="005E17F2" w:rsidRPr="00C97649" w:rsidRDefault="005E17F2" w:rsidP="00933705">
            <w:pPr>
              <w:rPr>
                <w:rFonts w:cs="Calibri"/>
                <w:color w:val="000000"/>
                <w:lang w:val="en-ID" w:eastAsia="en-ID"/>
              </w:rPr>
            </w:pPr>
            <w:r>
              <w:rPr>
                <w:rFonts w:cs="Calibri"/>
                <w:color w:val="000000"/>
                <w:lang w:val="en-ID" w:eastAsia="en-ID"/>
              </w:rPr>
              <w:t>REF</w:t>
            </w:r>
          </w:p>
        </w:tc>
        <w:tc>
          <w:tcPr>
            <w:tcW w:w="645" w:type="pct"/>
            <w:hideMark/>
          </w:tcPr>
          <w:p w14:paraId="624596FD"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0.13</w:t>
            </w:r>
          </w:p>
        </w:tc>
        <w:tc>
          <w:tcPr>
            <w:tcW w:w="550" w:type="pct"/>
            <w:hideMark/>
          </w:tcPr>
          <w:p w14:paraId="22BE4127"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c>
          <w:tcPr>
            <w:tcW w:w="705" w:type="pct"/>
            <w:hideMark/>
          </w:tcPr>
          <w:p w14:paraId="77D63574"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0.08</w:t>
            </w:r>
          </w:p>
        </w:tc>
        <w:tc>
          <w:tcPr>
            <w:tcW w:w="462" w:type="pct"/>
            <w:hideMark/>
          </w:tcPr>
          <w:p w14:paraId="6FCD9D7F"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0.15</w:t>
            </w:r>
          </w:p>
        </w:tc>
        <w:tc>
          <w:tcPr>
            <w:tcW w:w="551" w:type="pct"/>
            <w:hideMark/>
          </w:tcPr>
          <w:p w14:paraId="3E2002CE"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0.06</w:t>
            </w:r>
          </w:p>
        </w:tc>
        <w:tc>
          <w:tcPr>
            <w:tcW w:w="360" w:type="pct"/>
            <w:hideMark/>
          </w:tcPr>
          <w:p w14:paraId="6D186170"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0.13</w:t>
            </w:r>
          </w:p>
        </w:tc>
        <w:tc>
          <w:tcPr>
            <w:tcW w:w="397" w:type="pct"/>
            <w:noWrap/>
            <w:hideMark/>
          </w:tcPr>
          <w:p w14:paraId="5B5F0643"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0.59</w:t>
            </w:r>
          </w:p>
        </w:tc>
        <w:tc>
          <w:tcPr>
            <w:tcW w:w="508" w:type="pct"/>
            <w:noWrap/>
            <w:hideMark/>
          </w:tcPr>
          <w:p w14:paraId="67802CDA"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0.10</w:t>
            </w:r>
          </w:p>
        </w:tc>
      </w:tr>
      <w:tr w:rsidR="005E17F2" w:rsidRPr="00C97649" w14:paraId="17EEEA52"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770C0A10" w14:textId="77777777" w:rsidR="005E17F2" w:rsidRPr="00C97649" w:rsidRDefault="005E17F2" w:rsidP="00933705">
            <w:pPr>
              <w:rPr>
                <w:rFonts w:cs="Calibri"/>
                <w:color w:val="000000"/>
                <w:lang w:val="en-ID" w:eastAsia="en-ID"/>
              </w:rPr>
            </w:pPr>
            <w:r>
              <w:rPr>
                <w:rFonts w:cs="Calibri"/>
                <w:color w:val="000000"/>
                <w:lang w:val="en-ID" w:eastAsia="en-ID"/>
              </w:rPr>
              <w:t>ROA</w:t>
            </w:r>
          </w:p>
        </w:tc>
        <w:tc>
          <w:tcPr>
            <w:tcW w:w="645" w:type="pct"/>
            <w:hideMark/>
          </w:tcPr>
          <w:p w14:paraId="23EB0EAF"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0.13</w:t>
            </w:r>
          </w:p>
        </w:tc>
        <w:tc>
          <w:tcPr>
            <w:tcW w:w="550" w:type="pct"/>
            <w:hideMark/>
          </w:tcPr>
          <w:p w14:paraId="0B9F279E"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c>
          <w:tcPr>
            <w:tcW w:w="705" w:type="pct"/>
            <w:hideMark/>
          </w:tcPr>
          <w:p w14:paraId="73BF9C48"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c>
          <w:tcPr>
            <w:tcW w:w="462" w:type="pct"/>
            <w:hideMark/>
          </w:tcPr>
          <w:p w14:paraId="18DB65BA"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0.08</w:t>
            </w:r>
          </w:p>
        </w:tc>
        <w:tc>
          <w:tcPr>
            <w:tcW w:w="551" w:type="pct"/>
            <w:hideMark/>
          </w:tcPr>
          <w:p w14:paraId="33DA55E1"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0.06</w:t>
            </w:r>
          </w:p>
        </w:tc>
        <w:tc>
          <w:tcPr>
            <w:tcW w:w="360" w:type="pct"/>
            <w:hideMark/>
          </w:tcPr>
          <w:p w14:paraId="5A1D7340"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0.13</w:t>
            </w:r>
          </w:p>
        </w:tc>
        <w:tc>
          <w:tcPr>
            <w:tcW w:w="397" w:type="pct"/>
            <w:noWrap/>
            <w:hideMark/>
          </w:tcPr>
          <w:p w14:paraId="36DB4846"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0.47</w:t>
            </w:r>
          </w:p>
        </w:tc>
        <w:tc>
          <w:tcPr>
            <w:tcW w:w="508" w:type="pct"/>
            <w:noWrap/>
            <w:hideMark/>
          </w:tcPr>
          <w:p w14:paraId="15708019"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0.08</w:t>
            </w:r>
          </w:p>
        </w:tc>
      </w:tr>
      <w:tr w:rsidR="005E17F2" w:rsidRPr="00C97649" w14:paraId="67258BDC"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439FF7D9" w14:textId="77777777" w:rsidR="005E17F2" w:rsidRPr="00C97649" w:rsidRDefault="005E17F2" w:rsidP="00933705">
            <w:pPr>
              <w:rPr>
                <w:rFonts w:cs="Calibri"/>
                <w:color w:val="000000"/>
                <w:lang w:val="en-ID" w:eastAsia="en-ID"/>
              </w:rPr>
            </w:pPr>
            <w:r>
              <w:rPr>
                <w:rFonts w:cs="Calibri"/>
                <w:color w:val="000000"/>
                <w:lang w:val="en-ID" w:eastAsia="en-ID"/>
              </w:rPr>
              <w:t>RHF</w:t>
            </w:r>
          </w:p>
        </w:tc>
        <w:tc>
          <w:tcPr>
            <w:tcW w:w="645" w:type="pct"/>
            <w:hideMark/>
          </w:tcPr>
          <w:p w14:paraId="6AF4122D"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0.13</w:t>
            </w:r>
          </w:p>
        </w:tc>
        <w:tc>
          <w:tcPr>
            <w:tcW w:w="550" w:type="pct"/>
            <w:hideMark/>
          </w:tcPr>
          <w:p w14:paraId="306A3A17"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0.45</w:t>
            </w:r>
          </w:p>
        </w:tc>
        <w:tc>
          <w:tcPr>
            <w:tcW w:w="705" w:type="pct"/>
            <w:hideMark/>
          </w:tcPr>
          <w:p w14:paraId="76435400"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0.25</w:t>
            </w:r>
          </w:p>
        </w:tc>
        <w:tc>
          <w:tcPr>
            <w:tcW w:w="462" w:type="pct"/>
            <w:hideMark/>
          </w:tcPr>
          <w:p w14:paraId="0FFA876D"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0.23</w:t>
            </w:r>
          </w:p>
        </w:tc>
        <w:tc>
          <w:tcPr>
            <w:tcW w:w="551" w:type="pct"/>
            <w:hideMark/>
          </w:tcPr>
          <w:p w14:paraId="192A2B27"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0.19</w:t>
            </w:r>
          </w:p>
        </w:tc>
        <w:tc>
          <w:tcPr>
            <w:tcW w:w="360" w:type="pct"/>
            <w:hideMark/>
          </w:tcPr>
          <w:p w14:paraId="01C646BF"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0.21</w:t>
            </w:r>
          </w:p>
        </w:tc>
        <w:tc>
          <w:tcPr>
            <w:tcW w:w="397" w:type="pct"/>
            <w:noWrap/>
            <w:hideMark/>
          </w:tcPr>
          <w:p w14:paraId="2E94BD1E"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1.45</w:t>
            </w:r>
          </w:p>
        </w:tc>
        <w:tc>
          <w:tcPr>
            <w:tcW w:w="508" w:type="pct"/>
            <w:noWrap/>
            <w:hideMark/>
          </w:tcPr>
          <w:p w14:paraId="1B27F66E"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C97649">
              <w:rPr>
                <w:rFonts w:cs="Calibri"/>
                <w:color w:val="000000"/>
                <w:lang w:val="en-ID" w:eastAsia="en-ID"/>
              </w:rPr>
              <w:t>0.24</w:t>
            </w:r>
          </w:p>
        </w:tc>
      </w:tr>
      <w:tr w:rsidR="005E17F2" w:rsidRPr="00C97649" w14:paraId="239550A6"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26737614" w14:textId="77777777" w:rsidR="005E17F2" w:rsidRPr="00C97649" w:rsidRDefault="005E17F2" w:rsidP="00933705">
            <w:pPr>
              <w:rPr>
                <w:rFonts w:cs="Calibri"/>
                <w:color w:val="000000"/>
                <w:lang w:val="en-ID" w:eastAsia="en-ID"/>
              </w:rPr>
            </w:pPr>
            <w:r>
              <w:rPr>
                <w:rFonts w:cs="Calibri"/>
                <w:color w:val="000000"/>
                <w:lang w:val="en-ID" w:eastAsia="en-ID"/>
              </w:rPr>
              <w:t>LU</w:t>
            </w:r>
          </w:p>
        </w:tc>
        <w:tc>
          <w:tcPr>
            <w:tcW w:w="645" w:type="pct"/>
            <w:hideMark/>
          </w:tcPr>
          <w:p w14:paraId="36859A1C"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0.05</w:t>
            </w:r>
          </w:p>
        </w:tc>
        <w:tc>
          <w:tcPr>
            <w:tcW w:w="550" w:type="pct"/>
            <w:hideMark/>
          </w:tcPr>
          <w:p w14:paraId="3E75EA88"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0.03</w:t>
            </w:r>
          </w:p>
        </w:tc>
        <w:tc>
          <w:tcPr>
            <w:tcW w:w="705" w:type="pct"/>
            <w:hideMark/>
          </w:tcPr>
          <w:p w14:paraId="4CB32C63"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0.03</w:t>
            </w:r>
          </w:p>
        </w:tc>
        <w:tc>
          <w:tcPr>
            <w:tcW w:w="462" w:type="pct"/>
            <w:hideMark/>
          </w:tcPr>
          <w:p w14:paraId="10BAA8A9"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0.03</w:t>
            </w:r>
          </w:p>
        </w:tc>
        <w:tc>
          <w:tcPr>
            <w:tcW w:w="551" w:type="pct"/>
            <w:hideMark/>
          </w:tcPr>
          <w:p w14:paraId="63E514F0"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c>
          <w:tcPr>
            <w:tcW w:w="360" w:type="pct"/>
            <w:hideMark/>
          </w:tcPr>
          <w:p w14:paraId="66612835"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c>
          <w:tcPr>
            <w:tcW w:w="397" w:type="pct"/>
            <w:noWrap/>
            <w:hideMark/>
          </w:tcPr>
          <w:p w14:paraId="38505E1C"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0.22</w:t>
            </w:r>
          </w:p>
        </w:tc>
        <w:tc>
          <w:tcPr>
            <w:tcW w:w="508" w:type="pct"/>
            <w:noWrap/>
            <w:hideMark/>
          </w:tcPr>
          <w:p w14:paraId="7E371E60" w14:textId="77777777" w:rsidR="005E17F2" w:rsidRPr="00C97649"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C97649">
              <w:rPr>
                <w:rFonts w:cs="Calibri"/>
                <w:color w:val="000000"/>
                <w:lang w:val="en-ID" w:eastAsia="en-ID"/>
              </w:rPr>
              <w:t>0.04</w:t>
            </w:r>
          </w:p>
        </w:tc>
      </w:tr>
      <w:tr w:rsidR="005E17F2" w:rsidRPr="00C97649" w14:paraId="505E5DA9"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2" w:type="pct"/>
            <w:hideMark/>
          </w:tcPr>
          <w:p w14:paraId="3243A8E0" w14:textId="77777777" w:rsidR="005E17F2" w:rsidRPr="00C97649" w:rsidRDefault="005E17F2" w:rsidP="00933705">
            <w:pPr>
              <w:rPr>
                <w:rFonts w:cs="Calibri"/>
                <w:b w:val="0"/>
                <w:bCs w:val="0"/>
                <w:color w:val="000000"/>
                <w:lang w:val="en-ID" w:eastAsia="en-ID"/>
              </w:rPr>
            </w:pPr>
            <w:r w:rsidRPr="00C97649">
              <w:rPr>
                <w:rFonts w:cs="Calibri"/>
                <w:color w:val="000000"/>
                <w:lang w:val="en-ID" w:eastAsia="en-ID"/>
              </w:rPr>
              <w:t>Total</w:t>
            </w:r>
          </w:p>
        </w:tc>
        <w:tc>
          <w:tcPr>
            <w:tcW w:w="645" w:type="pct"/>
            <w:noWrap/>
            <w:hideMark/>
          </w:tcPr>
          <w:p w14:paraId="68B27888"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550" w:type="pct"/>
            <w:noWrap/>
            <w:hideMark/>
          </w:tcPr>
          <w:p w14:paraId="21C6ED79"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705" w:type="pct"/>
            <w:noWrap/>
            <w:hideMark/>
          </w:tcPr>
          <w:p w14:paraId="6790FC4B"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462" w:type="pct"/>
            <w:noWrap/>
            <w:hideMark/>
          </w:tcPr>
          <w:p w14:paraId="402BB212"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551" w:type="pct"/>
            <w:noWrap/>
            <w:hideMark/>
          </w:tcPr>
          <w:p w14:paraId="675B3ACC"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360" w:type="pct"/>
            <w:noWrap/>
            <w:hideMark/>
          </w:tcPr>
          <w:p w14:paraId="31EB9148"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c>
          <w:tcPr>
            <w:tcW w:w="397" w:type="pct"/>
            <w:noWrap/>
            <w:hideMark/>
          </w:tcPr>
          <w:p w14:paraId="35314396"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6.00</w:t>
            </w:r>
          </w:p>
        </w:tc>
        <w:tc>
          <w:tcPr>
            <w:tcW w:w="508" w:type="pct"/>
            <w:noWrap/>
            <w:hideMark/>
          </w:tcPr>
          <w:p w14:paraId="3DFA8F75" w14:textId="77777777" w:rsidR="005E17F2" w:rsidRPr="00C97649"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C97649">
              <w:rPr>
                <w:rFonts w:cs="Calibri"/>
                <w:b/>
                <w:bCs/>
                <w:color w:val="000000"/>
                <w:lang w:val="en-ID" w:eastAsia="en-ID"/>
              </w:rPr>
              <w:t>1.00</w:t>
            </w:r>
          </w:p>
        </w:tc>
      </w:tr>
    </w:tbl>
    <w:p w14:paraId="4F3BF449" w14:textId="77777777" w:rsidR="005E17F2" w:rsidRPr="00982A5C" w:rsidRDefault="005E17F2" w:rsidP="005E17F2">
      <w:pPr>
        <w:rPr>
          <w:sz w:val="16"/>
          <w:szCs w:val="16"/>
        </w:rPr>
      </w:pPr>
      <w:r w:rsidRPr="00982A5C">
        <w:rPr>
          <w:sz w:val="16"/>
          <w:szCs w:val="16"/>
        </w:rPr>
        <w:t xml:space="preserve">Note: </w:t>
      </w:r>
      <w:r w:rsidRPr="00982A5C">
        <w:rPr>
          <w:rFonts w:cs="Calibri"/>
          <w:color w:val="000000"/>
          <w:sz w:val="16"/>
          <w:szCs w:val="16"/>
          <w:lang w:val="en-ID" w:eastAsia="en-ID"/>
        </w:rPr>
        <w:t xml:space="preserve">PD is </w:t>
      </w:r>
      <w:r w:rsidRPr="00C97649">
        <w:rPr>
          <w:rFonts w:cs="Calibri"/>
          <w:color w:val="000000"/>
          <w:sz w:val="16"/>
          <w:szCs w:val="16"/>
          <w:lang w:val="en-ID" w:eastAsia="en-ID"/>
        </w:rPr>
        <w:t>Population Density</w:t>
      </w:r>
      <w:r w:rsidRPr="00982A5C">
        <w:rPr>
          <w:rFonts w:cs="Calibri"/>
          <w:color w:val="000000"/>
          <w:sz w:val="16"/>
          <w:szCs w:val="16"/>
          <w:lang w:val="en-ID" w:eastAsia="en-ID"/>
        </w:rPr>
        <w:t xml:space="preserve">; DR is </w:t>
      </w:r>
      <w:r w:rsidRPr="00C97649">
        <w:rPr>
          <w:rFonts w:cs="Calibri"/>
          <w:color w:val="000000"/>
          <w:sz w:val="16"/>
          <w:szCs w:val="16"/>
          <w:lang w:val="en-ID" w:eastAsia="en-ID"/>
        </w:rPr>
        <w:t xml:space="preserve">Distance to The </w:t>
      </w:r>
      <w:proofErr w:type="gramStart"/>
      <w:r w:rsidRPr="00C97649">
        <w:rPr>
          <w:rFonts w:cs="Calibri"/>
          <w:color w:val="000000"/>
          <w:sz w:val="16"/>
          <w:szCs w:val="16"/>
          <w:lang w:val="en-ID" w:eastAsia="en-ID"/>
        </w:rPr>
        <w:t>Road</w:t>
      </w:r>
      <w:r w:rsidRPr="00982A5C">
        <w:rPr>
          <w:rFonts w:cs="Calibri"/>
          <w:color w:val="000000"/>
          <w:sz w:val="16"/>
          <w:szCs w:val="16"/>
          <w:lang w:val="en-ID" w:eastAsia="en-ID"/>
        </w:rPr>
        <w:t>;  REF</w:t>
      </w:r>
      <w:proofErr w:type="gramEnd"/>
      <w:r w:rsidRPr="00982A5C">
        <w:rPr>
          <w:rFonts w:cs="Calibri"/>
          <w:color w:val="000000"/>
          <w:sz w:val="16"/>
          <w:szCs w:val="16"/>
          <w:lang w:val="en-ID" w:eastAsia="en-ID"/>
        </w:rPr>
        <w:t xml:space="preserve"> is </w:t>
      </w:r>
      <w:r w:rsidRPr="00C97649">
        <w:rPr>
          <w:rFonts w:cs="Calibri"/>
          <w:color w:val="000000"/>
          <w:sz w:val="16"/>
          <w:szCs w:val="16"/>
          <w:lang w:val="en-ID" w:eastAsia="en-ID"/>
        </w:rPr>
        <w:t>Radius of Educational Facilities</w:t>
      </w:r>
      <w:r w:rsidRPr="00982A5C">
        <w:rPr>
          <w:rFonts w:cs="Calibri"/>
          <w:color w:val="000000"/>
          <w:sz w:val="16"/>
          <w:szCs w:val="16"/>
          <w:lang w:val="en-ID" w:eastAsia="en-ID"/>
        </w:rPr>
        <w:t xml:space="preserve">; ROA is </w:t>
      </w:r>
      <w:r w:rsidRPr="00C97649">
        <w:rPr>
          <w:rFonts w:cs="Calibri"/>
          <w:color w:val="000000"/>
          <w:sz w:val="16"/>
          <w:szCs w:val="16"/>
          <w:lang w:val="en-ID" w:eastAsia="en-ID"/>
        </w:rPr>
        <w:t>Radius of Office Area</w:t>
      </w:r>
      <w:r w:rsidRPr="00982A5C">
        <w:rPr>
          <w:rFonts w:cs="Calibri"/>
          <w:color w:val="000000"/>
          <w:sz w:val="16"/>
          <w:szCs w:val="16"/>
          <w:lang w:val="en-ID" w:eastAsia="en-ID"/>
        </w:rPr>
        <w:t xml:space="preserve">; RHF is </w:t>
      </w:r>
      <w:r w:rsidRPr="00C97649">
        <w:rPr>
          <w:rFonts w:cs="Calibri"/>
          <w:color w:val="000000"/>
          <w:sz w:val="16"/>
          <w:szCs w:val="16"/>
          <w:lang w:val="en-ID" w:eastAsia="en-ID"/>
        </w:rPr>
        <w:t>Radius of Health Facilities</w:t>
      </w:r>
      <w:r w:rsidRPr="00982A5C">
        <w:rPr>
          <w:rFonts w:cs="Calibri"/>
          <w:color w:val="000000"/>
          <w:sz w:val="16"/>
          <w:szCs w:val="16"/>
          <w:lang w:val="en-ID" w:eastAsia="en-ID"/>
        </w:rPr>
        <w:t>; and LU is Land Use</w:t>
      </w:r>
    </w:p>
    <w:p w14:paraId="4A1770D5" w14:textId="77777777" w:rsidR="005E17F2" w:rsidRDefault="005E17F2" w:rsidP="005E17F2">
      <w:pPr>
        <w:spacing w:before="120" w:after="120"/>
        <w:jc w:val="center"/>
      </w:pPr>
    </w:p>
    <w:p w14:paraId="00506CD5" w14:textId="77777777" w:rsidR="005E17F2" w:rsidRDefault="005E17F2" w:rsidP="005E17F2">
      <w:pPr>
        <w:spacing w:before="120" w:after="120"/>
        <w:jc w:val="center"/>
      </w:pPr>
      <w:r>
        <w:t>Table 5. Summary of values</w:t>
      </w:r>
    </w:p>
    <w:tbl>
      <w:tblPr>
        <w:tblStyle w:val="PlainTable2"/>
        <w:tblW w:w="0" w:type="auto"/>
        <w:jc w:val="center"/>
        <w:tblLook w:val="04A0" w:firstRow="1" w:lastRow="0" w:firstColumn="1" w:lastColumn="0" w:noHBand="0" w:noVBand="1"/>
      </w:tblPr>
      <w:tblGrid>
        <w:gridCol w:w="2858"/>
        <w:gridCol w:w="794"/>
      </w:tblGrid>
      <w:tr w:rsidR="005E17F2" w14:paraId="7F183D5E" w14:textId="77777777" w:rsidTr="005E17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286BC580" w14:textId="77777777" w:rsidR="005E17F2" w:rsidRPr="00EB10D8" w:rsidRDefault="005E17F2" w:rsidP="00933705">
            <w:pPr>
              <w:jc w:val="center"/>
              <w:rPr>
                <w:b w:val="0"/>
                <w:bCs w:val="0"/>
              </w:rPr>
            </w:pPr>
            <w:r w:rsidRPr="00EB10D8">
              <w:t>Parameter</w:t>
            </w:r>
          </w:p>
        </w:tc>
        <w:tc>
          <w:tcPr>
            <w:tcW w:w="0" w:type="auto"/>
          </w:tcPr>
          <w:p w14:paraId="49849A17" w14:textId="77777777" w:rsidR="005E17F2" w:rsidRPr="00EB10D8"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rPr>
            </w:pPr>
            <w:r w:rsidRPr="00EB10D8">
              <w:t>Values</w:t>
            </w:r>
          </w:p>
        </w:tc>
      </w:tr>
      <w:tr w:rsidR="005E17F2" w14:paraId="392EF038" w14:textId="77777777" w:rsidTr="005E1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5FF73742" w14:textId="77777777" w:rsidR="005E17F2" w:rsidRDefault="005E17F2" w:rsidP="00933705">
            <w:proofErr w:type="spellStart"/>
            <w:r>
              <w:rPr>
                <w:rFonts w:ascii="Arial" w:hAnsi="Arial" w:cs="Arial"/>
              </w:rPr>
              <w:t>λ</w:t>
            </w:r>
            <w:r w:rsidRPr="00E072BD">
              <w:rPr>
                <w:vertAlign w:val="subscript"/>
              </w:rPr>
              <w:t>max</w:t>
            </w:r>
            <w:proofErr w:type="spellEnd"/>
          </w:p>
        </w:tc>
        <w:tc>
          <w:tcPr>
            <w:tcW w:w="0" w:type="auto"/>
          </w:tcPr>
          <w:p w14:paraId="2A0FBF69" w14:textId="77777777" w:rsidR="005E17F2" w:rsidRDefault="005E17F2" w:rsidP="00933705">
            <w:pPr>
              <w:jc w:val="right"/>
              <w:cnfStyle w:val="000000100000" w:firstRow="0" w:lastRow="0" w:firstColumn="0" w:lastColumn="0" w:oddVBand="0" w:evenVBand="0" w:oddHBand="1" w:evenHBand="0" w:firstRowFirstColumn="0" w:firstRowLastColumn="0" w:lastRowFirstColumn="0" w:lastRowLastColumn="0"/>
            </w:pPr>
            <w:r>
              <w:t>6.49</w:t>
            </w:r>
          </w:p>
        </w:tc>
      </w:tr>
      <w:tr w:rsidR="005E17F2" w14:paraId="2C7050CD" w14:textId="77777777" w:rsidTr="005E17F2">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58C25C59" w14:textId="77777777" w:rsidR="005E17F2" w:rsidRDefault="005E17F2" w:rsidP="00933705">
            <w:r>
              <w:t>n</w:t>
            </w:r>
          </w:p>
        </w:tc>
        <w:tc>
          <w:tcPr>
            <w:tcW w:w="0" w:type="auto"/>
          </w:tcPr>
          <w:p w14:paraId="335DB187" w14:textId="77777777" w:rsidR="005E17F2" w:rsidRDefault="005E17F2" w:rsidP="00933705">
            <w:pPr>
              <w:jc w:val="right"/>
              <w:cnfStyle w:val="000000000000" w:firstRow="0" w:lastRow="0" w:firstColumn="0" w:lastColumn="0" w:oddVBand="0" w:evenVBand="0" w:oddHBand="0" w:evenHBand="0" w:firstRowFirstColumn="0" w:firstRowLastColumn="0" w:lastRowFirstColumn="0" w:lastRowLastColumn="0"/>
            </w:pPr>
            <w:r>
              <w:t>6</w:t>
            </w:r>
          </w:p>
        </w:tc>
      </w:tr>
      <w:tr w:rsidR="005E17F2" w14:paraId="562646DB" w14:textId="77777777" w:rsidTr="005E1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6BD88A42" w14:textId="77777777" w:rsidR="005E17F2" w:rsidRDefault="005E17F2" w:rsidP="00933705">
            <w:r>
              <w:t>RI</w:t>
            </w:r>
          </w:p>
        </w:tc>
        <w:tc>
          <w:tcPr>
            <w:tcW w:w="0" w:type="auto"/>
          </w:tcPr>
          <w:p w14:paraId="6D3CF23F" w14:textId="77777777" w:rsidR="005E17F2" w:rsidRDefault="005E17F2" w:rsidP="00933705">
            <w:pPr>
              <w:jc w:val="right"/>
              <w:cnfStyle w:val="000000100000" w:firstRow="0" w:lastRow="0" w:firstColumn="0" w:lastColumn="0" w:oddVBand="0" w:evenVBand="0" w:oddHBand="1" w:evenHBand="0" w:firstRowFirstColumn="0" w:firstRowLastColumn="0" w:lastRowFirstColumn="0" w:lastRowLastColumn="0"/>
            </w:pPr>
            <w:r>
              <w:t>1.24</w:t>
            </w:r>
          </w:p>
        </w:tc>
      </w:tr>
      <w:tr w:rsidR="005E17F2" w14:paraId="17D5CE32" w14:textId="77777777" w:rsidTr="005E17F2">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15793606" w14:textId="77777777" w:rsidR="005E17F2" w:rsidRDefault="005E17F2" w:rsidP="00933705">
            <w:r>
              <w:t>CI</w:t>
            </w:r>
          </w:p>
        </w:tc>
        <w:tc>
          <w:tcPr>
            <w:tcW w:w="0" w:type="auto"/>
          </w:tcPr>
          <w:p w14:paraId="661A3E52" w14:textId="77777777" w:rsidR="005E17F2" w:rsidRDefault="005E17F2" w:rsidP="00933705">
            <w:pPr>
              <w:jc w:val="right"/>
              <w:cnfStyle w:val="000000000000" w:firstRow="0" w:lastRow="0" w:firstColumn="0" w:lastColumn="0" w:oddVBand="0" w:evenVBand="0" w:oddHBand="0" w:evenHBand="0" w:firstRowFirstColumn="0" w:firstRowLastColumn="0" w:lastRowFirstColumn="0" w:lastRowLastColumn="0"/>
            </w:pPr>
            <w:r>
              <w:t>0.1</w:t>
            </w:r>
          </w:p>
        </w:tc>
      </w:tr>
      <w:tr w:rsidR="005E17F2" w14:paraId="5F0B36B2" w14:textId="77777777" w:rsidTr="005E1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0054180E" w14:textId="77777777" w:rsidR="005E17F2" w:rsidRDefault="005E17F2" w:rsidP="00933705">
            <w:r>
              <w:t>CR</w:t>
            </w:r>
          </w:p>
        </w:tc>
        <w:tc>
          <w:tcPr>
            <w:tcW w:w="0" w:type="auto"/>
          </w:tcPr>
          <w:p w14:paraId="352B73EE" w14:textId="77777777" w:rsidR="005E17F2" w:rsidRDefault="005E17F2" w:rsidP="00933705">
            <w:pPr>
              <w:jc w:val="right"/>
              <w:cnfStyle w:val="000000100000" w:firstRow="0" w:lastRow="0" w:firstColumn="0" w:lastColumn="0" w:oddVBand="0" w:evenVBand="0" w:oddHBand="1" w:evenHBand="0" w:firstRowFirstColumn="0" w:firstRowLastColumn="0" w:lastRowFirstColumn="0" w:lastRowLastColumn="0"/>
            </w:pPr>
            <w:r>
              <w:t>0.079</w:t>
            </w:r>
          </w:p>
        </w:tc>
      </w:tr>
    </w:tbl>
    <w:p w14:paraId="4C3E2C98" w14:textId="77777777" w:rsidR="005E17F2" w:rsidRDefault="005E17F2" w:rsidP="005E17F2"/>
    <w:p w14:paraId="0841AC92" w14:textId="77777777" w:rsidR="005E17F2" w:rsidRPr="005E17F2" w:rsidRDefault="005E17F2" w:rsidP="005E17F2">
      <w:pPr>
        <w:ind w:firstLine="720"/>
        <w:jc w:val="both"/>
      </w:pPr>
      <w:r w:rsidRPr="005E17F2">
        <w:t xml:space="preserve">The DF vulnerability model was constructed based on the conditioning factors that have been reclassified using the weights achieved from AHP method. The coefficients and significances were measured using AHP and are listed in Table 4 or Table 5. Among the conditioning factors, </w:t>
      </w:r>
      <w:r w:rsidRPr="005E17F2">
        <w:rPr>
          <w:color w:val="000000"/>
          <w:lang w:val="en-ID" w:eastAsia="en-ID"/>
        </w:rPr>
        <w:t>population density</w:t>
      </w:r>
      <w:r w:rsidRPr="005E17F2">
        <w:t xml:space="preserve"> showed the highest weight (0.34) as it had the most significant impact on </w:t>
      </w:r>
      <w:proofErr w:type="gramStart"/>
      <w:r w:rsidRPr="005E17F2">
        <w:t>DF  vulnerability</w:t>
      </w:r>
      <w:proofErr w:type="gramEnd"/>
      <w:r w:rsidRPr="005E17F2">
        <w:t xml:space="preserve"> and the lowest weight (0.04) was assigned to the land use. In order to produce </w:t>
      </w:r>
      <w:proofErr w:type="gramStart"/>
      <w:r w:rsidRPr="005E17F2">
        <w:t>probability</w:t>
      </w:r>
      <w:proofErr w:type="gramEnd"/>
      <w:r w:rsidRPr="005E17F2">
        <w:t xml:space="preserve"> map the values obtained from DF vulnerability were transferred to the ArcGIS 10.8 software and Eq (2) was applied to the conditioning factors.</w:t>
      </w:r>
    </w:p>
    <w:p w14:paraId="5A861F59" w14:textId="128CC44D" w:rsidR="005E17F2" w:rsidRPr="005E17F2" w:rsidRDefault="005E17F2" w:rsidP="005E17F2">
      <w:pPr>
        <w:spacing w:before="120" w:after="120"/>
      </w:pPr>
      <w:r w:rsidRPr="005E17F2">
        <w:rPr>
          <w:lang w:val="id-ID"/>
        </w:rPr>
        <w:object w:dxaOrig="5220" w:dyaOrig="240" w14:anchorId="7AECA5C1">
          <v:shape id="_x0000_i1026" type="#_x0000_t75" style="width:259.5pt;height:12pt" o:ole="">
            <v:imagedata r:id="rId19" o:title=""/>
          </v:shape>
          <o:OLEObject Type="Embed" ProgID="Equation.DSMT4" ShapeID="_x0000_i1026" DrawAspect="Content" ObjectID="_1686420555" r:id="rId20"/>
        </w:object>
      </w:r>
      <w:r w:rsidRPr="005E17F2">
        <w:rPr>
          <w:lang w:val="id-ID"/>
        </w:rPr>
        <w:tab/>
      </w:r>
      <w:r w:rsidRPr="005E17F2">
        <w:rPr>
          <w:lang w:val="id-ID"/>
        </w:rPr>
        <w:tab/>
      </w:r>
      <w:r w:rsidRPr="005E17F2">
        <w:rPr>
          <w:lang w:val="id-ID"/>
        </w:rPr>
        <w:tab/>
      </w:r>
      <w:r>
        <w:rPr>
          <w:lang w:val="id-ID"/>
        </w:rPr>
        <w:tab/>
      </w:r>
      <w:r>
        <w:t xml:space="preserve">            </w:t>
      </w:r>
      <w:r w:rsidRPr="005E17F2">
        <w:t>(2)</w:t>
      </w:r>
    </w:p>
    <w:p w14:paraId="666D9004" w14:textId="77777777" w:rsidR="005E17F2" w:rsidRPr="005E17F2" w:rsidRDefault="005E17F2" w:rsidP="005E17F2">
      <w:pPr>
        <w:jc w:val="both"/>
      </w:pPr>
      <w:r w:rsidRPr="005E17F2">
        <w:t xml:space="preserve">where DFV is Dengue Fever Vulnerability </w:t>
      </w:r>
      <w:r w:rsidRPr="005E17F2">
        <w:rPr>
          <w:color w:val="000000"/>
          <w:lang w:val="en-ID" w:eastAsia="en-ID"/>
        </w:rPr>
        <w:t>Score</w:t>
      </w:r>
      <w:r w:rsidRPr="005E17F2">
        <w:t xml:space="preserve">, </w:t>
      </w:r>
      <w:r w:rsidRPr="005E17F2">
        <w:rPr>
          <w:color w:val="000000"/>
          <w:lang w:val="en-ID" w:eastAsia="en-ID"/>
        </w:rPr>
        <w:t xml:space="preserve">PD is Population Density Score; DR is Distance to The Road </w:t>
      </w:r>
      <w:proofErr w:type="gramStart"/>
      <w:r w:rsidRPr="005E17F2">
        <w:rPr>
          <w:color w:val="000000"/>
          <w:lang w:val="en-ID" w:eastAsia="en-ID"/>
        </w:rPr>
        <w:t>Score;  REF</w:t>
      </w:r>
      <w:proofErr w:type="gramEnd"/>
      <w:r w:rsidRPr="005E17F2">
        <w:rPr>
          <w:color w:val="000000"/>
          <w:lang w:val="en-ID" w:eastAsia="en-ID"/>
        </w:rPr>
        <w:t xml:space="preserve"> is Radius of Educational Facilities Score; ROA is Radius of Office Area Score; RHF is Radius of Health Facilities Score; and LU is Land Use Score.</w:t>
      </w:r>
    </w:p>
    <w:p w14:paraId="143ADEDE" w14:textId="77777777" w:rsidR="005E17F2" w:rsidRDefault="005E17F2" w:rsidP="00B768AE">
      <w:pPr>
        <w:spacing w:before="120" w:after="120"/>
        <w:jc w:val="center"/>
      </w:pPr>
      <w:r>
        <w:t>Table 6. Weight of criteria and sub-criteria</w:t>
      </w:r>
    </w:p>
    <w:tbl>
      <w:tblPr>
        <w:tblStyle w:val="PlainTable2"/>
        <w:tblW w:w="4997" w:type="pct"/>
        <w:tblLook w:val="04A0" w:firstRow="1" w:lastRow="0" w:firstColumn="1" w:lastColumn="0" w:noHBand="0" w:noVBand="1"/>
      </w:tblPr>
      <w:tblGrid>
        <w:gridCol w:w="511"/>
        <w:gridCol w:w="2309"/>
        <w:gridCol w:w="3331"/>
        <w:gridCol w:w="956"/>
        <w:gridCol w:w="719"/>
        <w:gridCol w:w="957"/>
      </w:tblGrid>
      <w:tr w:rsidR="005E17F2" w:rsidRPr="00521259" w14:paraId="340EEB43" w14:textId="77777777" w:rsidTr="005E17F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tcPr>
          <w:p w14:paraId="3184B654" w14:textId="77777777" w:rsidR="005E17F2" w:rsidRPr="00521259" w:rsidRDefault="005E17F2" w:rsidP="00933705">
            <w:pPr>
              <w:jc w:val="center"/>
              <w:rPr>
                <w:b w:val="0"/>
                <w:bCs w:val="0"/>
                <w:color w:val="000000"/>
                <w:lang w:val="en-ID" w:eastAsia="en-ID"/>
              </w:rPr>
            </w:pPr>
            <w:r w:rsidRPr="00521259">
              <w:rPr>
                <w:color w:val="000000"/>
                <w:lang w:val="en-ID" w:eastAsia="en-ID"/>
              </w:rPr>
              <w:t>No.</w:t>
            </w:r>
          </w:p>
        </w:tc>
        <w:tc>
          <w:tcPr>
            <w:tcW w:w="1328" w:type="pct"/>
            <w:hideMark/>
          </w:tcPr>
          <w:p w14:paraId="4B537986" w14:textId="77777777" w:rsidR="005E17F2" w:rsidRPr="00F715C0"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21259">
              <w:rPr>
                <w:color w:val="000000"/>
                <w:lang w:val="en-ID" w:eastAsia="en-ID"/>
              </w:rPr>
              <w:t>Criteria</w:t>
            </w:r>
          </w:p>
        </w:tc>
        <w:tc>
          <w:tcPr>
            <w:tcW w:w="1910" w:type="pct"/>
          </w:tcPr>
          <w:p w14:paraId="5C69EEAE" w14:textId="77777777" w:rsidR="005E17F2" w:rsidRPr="00521259"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21259">
              <w:rPr>
                <w:color w:val="000000"/>
                <w:lang w:val="en-ID" w:eastAsia="en-ID"/>
              </w:rPr>
              <w:t>Sub</w:t>
            </w:r>
            <w:r>
              <w:rPr>
                <w:color w:val="000000"/>
                <w:lang w:val="en-ID" w:eastAsia="en-ID"/>
              </w:rPr>
              <w:t>-</w:t>
            </w:r>
            <w:r w:rsidRPr="00521259">
              <w:rPr>
                <w:color w:val="000000"/>
                <w:lang w:val="en-ID" w:eastAsia="en-ID"/>
              </w:rPr>
              <w:t>Criteria</w:t>
            </w:r>
          </w:p>
        </w:tc>
        <w:tc>
          <w:tcPr>
            <w:tcW w:w="558" w:type="pct"/>
          </w:tcPr>
          <w:p w14:paraId="66F683B7" w14:textId="77777777" w:rsidR="005E17F2" w:rsidRPr="00521259"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21259">
              <w:rPr>
                <w:color w:val="000000"/>
                <w:lang w:val="en-ID" w:eastAsia="en-ID"/>
              </w:rPr>
              <w:t>Criteria Weight (W)</w:t>
            </w:r>
          </w:p>
        </w:tc>
        <w:tc>
          <w:tcPr>
            <w:tcW w:w="423" w:type="pct"/>
            <w:hideMark/>
          </w:tcPr>
          <w:p w14:paraId="1A280303" w14:textId="77777777" w:rsidR="005E17F2" w:rsidRPr="00F715C0"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21259">
              <w:rPr>
                <w:color w:val="000000"/>
                <w:lang w:val="en-ID" w:eastAsia="en-ID"/>
              </w:rPr>
              <w:t>Score (S)</w:t>
            </w:r>
          </w:p>
        </w:tc>
        <w:tc>
          <w:tcPr>
            <w:tcW w:w="558" w:type="pct"/>
            <w:hideMark/>
          </w:tcPr>
          <w:p w14:paraId="0C08436A" w14:textId="77777777" w:rsidR="005E17F2" w:rsidRPr="00F715C0" w:rsidRDefault="005E17F2" w:rsidP="00933705">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ID" w:eastAsia="en-ID"/>
              </w:rPr>
            </w:pPr>
            <w:r w:rsidRPr="00521259">
              <w:rPr>
                <w:color w:val="000000"/>
                <w:lang w:val="en-ID" w:eastAsia="en-ID"/>
              </w:rPr>
              <w:t>W x S</w:t>
            </w:r>
          </w:p>
        </w:tc>
      </w:tr>
      <w:tr w:rsidR="005E17F2" w:rsidRPr="00521259" w14:paraId="55E2D8D8"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3B643432" w14:textId="77777777" w:rsidR="005E17F2" w:rsidRPr="00521259" w:rsidRDefault="005E17F2" w:rsidP="00933705">
            <w:pPr>
              <w:jc w:val="center"/>
              <w:rPr>
                <w:rFonts w:cs="Calibri"/>
                <w:color w:val="000000"/>
                <w:lang w:val="en-ID" w:eastAsia="en-ID"/>
              </w:rPr>
            </w:pPr>
            <w:r w:rsidRPr="00521259">
              <w:rPr>
                <w:rFonts w:cs="Calibri"/>
                <w:color w:val="000000"/>
                <w:lang w:val="en-ID" w:eastAsia="en-ID"/>
              </w:rPr>
              <w:t>1</w:t>
            </w:r>
          </w:p>
        </w:tc>
        <w:tc>
          <w:tcPr>
            <w:tcW w:w="1328" w:type="pct"/>
            <w:vMerge w:val="restart"/>
          </w:tcPr>
          <w:p w14:paraId="0E332740" w14:textId="77777777" w:rsidR="005E17F2" w:rsidRPr="00F715C0" w:rsidRDefault="005E17F2" w:rsidP="00933705">
            <w:pPr>
              <w:ind w:leftChars="-28" w:left="-56"/>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C97649">
              <w:rPr>
                <w:rFonts w:cs="Calibri"/>
                <w:color w:val="000000"/>
                <w:lang w:val="en-ID" w:eastAsia="en-ID"/>
              </w:rPr>
              <w:t xml:space="preserve">Population </w:t>
            </w:r>
            <w:r>
              <w:rPr>
                <w:rFonts w:cs="Calibri"/>
                <w:color w:val="000000"/>
                <w:lang w:val="en-ID" w:eastAsia="en-ID"/>
              </w:rPr>
              <w:t>d</w:t>
            </w:r>
            <w:r w:rsidRPr="00C97649">
              <w:rPr>
                <w:rFonts w:cs="Calibri"/>
                <w:color w:val="000000"/>
                <w:lang w:val="en-ID" w:eastAsia="en-ID"/>
              </w:rPr>
              <w:t>ensity</w:t>
            </w:r>
          </w:p>
        </w:tc>
        <w:tc>
          <w:tcPr>
            <w:tcW w:w="1910" w:type="pct"/>
          </w:tcPr>
          <w:p w14:paraId="5B7587DB" w14:textId="4F155506"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&gt;1</w:t>
            </w:r>
            <w:r w:rsidR="000B34E1">
              <w:rPr>
                <w:color w:val="000000"/>
                <w:lang w:val="en-ID" w:eastAsia="en-ID"/>
              </w:rPr>
              <w:t>,</w:t>
            </w:r>
            <w:r w:rsidRPr="00F715C0">
              <w:rPr>
                <w:color w:val="000000"/>
                <w:lang w:val="en-ID" w:eastAsia="en-ID"/>
              </w:rPr>
              <w:t xml:space="preserve">000 </w:t>
            </w:r>
            <w:r w:rsidRPr="00521259">
              <w:rPr>
                <w:color w:val="000000"/>
                <w:lang w:val="en-ID" w:eastAsia="en-ID"/>
              </w:rPr>
              <w:t>person</w:t>
            </w:r>
            <w:r w:rsidRPr="00F715C0">
              <w:rPr>
                <w:color w:val="000000"/>
                <w:lang w:val="en-ID" w:eastAsia="en-ID"/>
              </w:rPr>
              <w:t>/km</w:t>
            </w:r>
            <w:r w:rsidRPr="00F715C0">
              <w:rPr>
                <w:color w:val="000000"/>
                <w:vertAlign w:val="superscript"/>
                <w:lang w:val="en-ID" w:eastAsia="en-ID"/>
              </w:rPr>
              <w:t>2</w:t>
            </w:r>
          </w:p>
        </w:tc>
        <w:tc>
          <w:tcPr>
            <w:tcW w:w="558" w:type="pct"/>
            <w:vMerge w:val="restart"/>
          </w:tcPr>
          <w:p w14:paraId="46E9D2F2"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21259">
              <w:rPr>
                <w:color w:val="000000"/>
                <w:lang w:val="en-ID" w:eastAsia="en-ID"/>
              </w:rPr>
              <w:t>0.34</w:t>
            </w:r>
          </w:p>
        </w:tc>
        <w:tc>
          <w:tcPr>
            <w:tcW w:w="423" w:type="pct"/>
            <w:hideMark/>
          </w:tcPr>
          <w:p w14:paraId="134E6775"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41E3A94D"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1.012</w:t>
            </w:r>
          </w:p>
        </w:tc>
      </w:tr>
      <w:tr w:rsidR="005E17F2" w:rsidRPr="00521259" w14:paraId="5F3E3B61"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AA5C98E" w14:textId="77777777" w:rsidR="005E17F2" w:rsidRPr="00521259" w:rsidRDefault="005E17F2" w:rsidP="00933705">
            <w:pPr>
              <w:jc w:val="center"/>
              <w:rPr>
                <w:color w:val="000000"/>
                <w:lang w:val="en-ID" w:eastAsia="en-ID"/>
              </w:rPr>
            </w:pPr>
          </w:p>
        </w:tc>
        <w:tc>
          <w:tcPr>
            <w:tcW w:w="1328" w:type="pct"/>
            <w:vMerge/>
          </w:tcPr>
          <w:p w14:paraId="45324CCA"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35B8B321" w14:textId="5530E02F"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 xml:space="preserve">500 </w:t>
            </w:r>
            <w:r w:rsidR="000B34E1">
              <w:rPr>
                <w:color w:val="000000"/>
                <w:lang w:val="en-ID" w:eastAsia="en-ID"/>
              </w:rPr>
              <w:t>-</w:t>
            </w:r>
            <w:r w:rsidRPr="00F715C0">
              <w:rPr>
                <w:color w:val="000000"/>
                <w:lang w:val="en-ID" w:eastAsia="en-ID"/>
              </w:rPr>
              <w:t xml:space="preserve"> 1</w:t>
            </w:r>
            <w:r w:rsidR="000B34E1">
              <w:rPr>
                <w:color w:val="000000"/>
                <w:lang w:val="en-ID" w:eastAsia="en-ID"/>
              </w:rPr>
              <w:t>,</w:t>
            </w:r>
            <w:r w:rsidRPr="00F715C0">
              <w:rPr>
                <w:color w:val="000000"/>
                <w:lang w:val="en-ID" w:eastAsia="en-ID"/>
              </w:rPr>
              <w:t xml:space="preserve">000 </w:t>
            </w:r>
            <w:r w:rsidRPr="00521259">
              <w:rPr>
                <w:color w:val="000000"/>
                <w:lang w:val="en-ID" w:eastAsia="en-ID"/>
              </w:rPr>
              <w:t>person</w:t>
            </w:r>
            <w:r w:rsidRPr="00F715C0">
              <w:rPr>
                <w:color w:val="000000"/>
                <w:lang w:val="en-ID" w:eastAsia="en-ID"/>
              </w:rPr>
              <w:t>/km</w:t>
            </w:r>
            <w:r w:rsidRPr="00F715C0">
              <w:rPr>
                <w:color w:val="000000"/>
                <w:vertAlign w:val="superscript"/>
                <w:lang w:val="en-ID" w:eastAsia="en-ID"/>
              </w:rPr>
              <w:t>2</w:t>
            </w:r>
          </w:p>
        </w:tc>
        <w:tc>
          <w:tcPr>
            <w:tcW w:w="558" w:type="pct"/>
            <w:vMerge/>
          </w:tcPr>
          <w:p w14:paraId="09BCD95A"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2CEAF570"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4CD695D0"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0.675</w:t>
            </w:r>
          </w:p>
        </w:tc>
      </w:tr>
      <w:tr w:rsidR="005E17F2" w:rsidRPr="00521259" w14:paraId="2A2916B2"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178EAE0" w14:textId="77777777" w:rsidR="005E17F2" w:rsidRPr="00521259" w:rsidRDefault="005E17F2" w:rsidP="00933705">
            <w:pPr>
              <w:jc w:val="center"/>
              <w:rPr>
                <w:color w:val="000000"/>
                <w:lang w:val="en-ID" w:eastAsia="en-ID"/>
              </w:rPr>
            </w:pPr>
          </w:p>
        </w:tc>
        <w:tc>
          <w:tcPr>
            <w:tcW w:w="1328" w:type="pct"/>
            <w:vMerge/>
          </w:tcPr>
          <w:p w14:paraId="46D79021"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56C12C76"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 xml:space="preserve">&lt;500 </w:t>
            </w:r>
            <w:r w:rsidRPr="00521259">
              <w:rPr>
                <w:color w:val="000000"/>
                <w:lang w:val="en-ID" w:eastAsia="en-ID"/>
              </w:rPr>
              <w:t>person</w:t>
            </w:r>
            <w:r w:rsidRPr="00F715C0">
              <w:rPr>
                <w:color w:val="000000"/>
                <w:lang w:val="en-ID" w:eastAsia="en-ID"/>
              </w:rPr>
              <w:t>/km</w:t>
            </w:r>
            <w:r w:rsidRPr="00F715C0">
              <w:rPr>
                <w:color w:val="000000"/>
                <w:vertAlign w:val="superscript"/>
                <w:lang w:val="en-ID" w:eastAsia="en-ID"/>
              </w:rPr>
              <w:t>2</w:t>
            </w:r>
          </w:p>
        </w:tc>
        <w:tc>
          <w:tcPr>
            <w:tcW w:w="558" w:type="pct"/>
            <w:vMerge/>
          </w:tcPr>
          <w:p w14:paraId="4BD388FA"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0D3ABE0F"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2199F3C2"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0.337</w:t>
            </w:r>
          </w:p>
        </w:tc>
      </w:tr>
      <w:tr w:rsidR="005E17F2" w:rsidRPr="00521259" w14:paraId="2643596D"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05586D81" w14:textId="77777777" w:rsidR="005E17F2" w:rsidRPr="00521259" w:rsidRDefault="005E17F2" w:rsidP="00933705">
            <w:pPr>
              <w:jc w:val="center"/>
              <w:rPr>
                <w:rFonts w:cs="Calibri"/>
                <w:color w:val="000000"/>
                <w:lang w:val="en-ID" w:eastAsia="en-ID"/>
              </w:rPr>
            </w:pPr>
            <w:r w:rsidRPr="00521259">
              <w:rPr>
                <w:rFonts w:cs="Calibri"/>
                <w:color w:val="000000"/>
                <w:lang w:val="en-ID" w:eastAsia="en-ID"/>
              </w:rPr>
              <w:t>2.</w:t>
            </w:r>
          </w:p>
        </w:tc>
        <w:tc>
          <w:tcPr>
            <w:tcW w:w="1328" w:type="pct"/>
            <w:vMerge w:val="restart"/>
          </w:tcPr>
          <w:p w14:paraId="2C6DA23D"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C97649">
              <w:rPr>
                <w:rFonts w:cs="Calibri"/>
                <w:color w:val="000000"/>
                <w:lang w:val="en-ID" w:eastAsia="en-ID"/>
              </w:rPr>
              <w:t xml:space="preserve">Distance to </w:t>
            </w:r>
            <w:r>
              <w:rPr>
                <w:rFonts w:cs="Calibri"/>
                <w:color w:val="000000"/>
                <w:lang w:val="en-ID" w:eastAsia="en-ID"/>
              </w:rPr>
              <w:t>t</w:t>
            </w:r>
            <w:r w:rsidRPr="00C97649">
              <w:rPr>
                <w:rFonts w:cs="Calibri"/>
                <w:color w:val="000000"/>
                <w:lang w:val="en-ID" w:eastAsia="en-ID"/>
              </w:rPr>
              <w:t xml:space="preserve">he </w:t>
            </w:r>
            <w:r>
              <w:rPr>
                <w:rFonts w:cs="Calibri"/>
                <w:color w:val="000000"/>
                <w:lang w:val="en-ID" w:eastAsia="en-ID"/>
              </w:rPr>
              <w:t>r</w:t>
            </w:r>
            <w:r w:rsidRPr="00C97649">
              <w:rPr>
                <w:rFonts w:cs="Calibri"/>
                <w:color w:val="000000"/>
                <w:lang w:val="en-ID" w:eastAsia="en-ID"/>
              </w:rPr>
              <w:t>oad</w:t>
            </w:r>
          </w:p>
        </w:tc>
        <w:tc>
          <w:tcPr>
            <w:tcW w:w="1910" w:type="pct"/>
          </w:tcPr>
          <w:p w14:paraId="04F5D6BB"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&lt;50 m</w:t>
            </w:r>
          </w:p>
        </w:tc>
        <w:tc>
          <w:tcPr>
            <w:tcW w:w="558" w:type="pct"/>
            <w:vMerge w:val="restart"/>
          </w:tcPr>
          <w:p w14:paraId="663B6BDE"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0.21</w:t>
            </w:r>
          </w:p>
        </w:tc>
        <w:tc>
          <w:tcPr>
            <w:tcW w:w="423" w:type="pct"/>
            <w:hideMark/>
          </w:tcPr>
          <w:p w14:paraId="10A61CBC"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5</w:t>
            </w:r>
          </w:p>
        </w:tc>
        <w:tc>
          <w:tcPr>
            <w:tcW w:w="558" w:type="pct"/>
            <w:hideMark/>
          </w:tcPr>
          <w:p w14:paraId="4FA92027"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1.041</w:t>
            </w:r>
          </w:p>
        </w:tc>
      </w:tr>
      <w:tr w:rsidR="005E17F2" w:rsidRPr="00521259" w14:paraId="1D08F477"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00CA7B99" w14:textId="77777777" w:rsidR="005E17F2" w:rsidRPr="00521259" w:rsidRDefault="005E17F2" w:rsidP="00933705">
            <w:pPr>
              <w:jc w:val="center"/>
              <w:rPr>
                <w:color w:val="000000"/>
                <w:lang w:val="en-ID" w:eastAsia="en-ID"/>
              </w:rPr>
            </w:pPr>
          </w:p>
        </w:tc>
        <w:tc>
          <w:tcPr>
            <w:tcW w:w="1328" w:type="pct"/>
            <w:vMerge/>
          </w:tcPr>
          <w:p w14:paraId="72F45D9E"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23B869B7"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50 m - 100 m</w:t>
            </w:r>
          </w:p>
        </w:tc>
        <w:tc>
          <w:tcPr>
            <w:tcW w:w="558" w:type="pct"/>
            <w:vMerge/>
          </w:tcPr>
          <w:p w14:paraId="74BC6579"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7A8DC48C"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4</w:t>
            </w:r>
          </w:p>
        </w:tc>
        <w:tc>
          <w:tcPr>
            <w:tcW w:w="558" w:type="pct"/>
            <w:hideMark/>
          </w:tcPr>
          <w:p w14:paraId="2BBA16C9"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0.833</w:t>
            </w:r>
          </w:p>
        </w:tc>
      </w:tr>
      <w:tr w:rsidR="005E17F2" w:rsidRPr="00521259" w14:paraId="51D1DB7C"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B972BBB" w14:textId="77777777" w:rsidR="005E17F2" w:rsidRPr="00521259" w:rsidRDefault="005E17F2" w:rsidP="00933705">
            <w:pPr>
              <w:jc w:val="center"/>
              <w:rPr>
                <w:color w:val="000000"/>
                <w:lang w:val="en-ID" w:eastAsia="en-ID"/>
              </w:rPr>
            </w:pPr>
          </w:p>
        </w:tc>
        <w:tc>
          <w:tcPr>
            <w:tcW w:w="1328" w:type="pct"/>
            <w:vMerge/>
          </w:tcPr>
          <w:p w14:paraId="71758F1B"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45FFE77C"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100 m - 200 m</w:t>
            </w:r>
          </w:p>
        </w:tc>
        <w:tc>
          <w:tcPr>
            <w:tcW w:w="558" w:type="pct"/>
            <w:vMerge/>
          </w:tcPr>
          <w:p w14:paraId="05605073"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5AFAFB6E"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698C98E1"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0.624</w:t>
            </w:r>
          </w:p>
        </w:tc>
      </w:tr>
      <w:tr w:rsidR="005E17F2" w:rsidRPr="00521259" w14:paraId="3B89A6F3"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ADE0586" w14:textId="77777777" w:rsidR="005E17F2" w:rsidRPr="00521259" w:rsidRDefault="005E17F2" w:rsidP="00933705">
            <w:pPr>
              <w:jc w:val="center"/>
              <w:rPr>
                <w:color w:val="000000"/>
                <w:lang w:val="en-ID" w:eastAsia="en-ID"/>
              </w:rPr>
            </w:pPr>
          </w:p>
        </w:tc>
        <w:tc>
          <w:tcPr>
            <w:tcW w:w="1328" w:type="pct"/>
            <w:vMerge/>
          </w:tcPr>
          <w:p w14:paraId="3286F1F2"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7DFCABF3"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200 m - 400 m</w:t>
            </w:r>
          </w:p>
        </w:tc>
        <w:tc>
          <w:tcPr>
            <w:tcW w:w="558" w:type="pct"/>
            <w:vMerge/>
          </w:tcPr>
          <w:p w14:paraId="615D7DB7"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5AACB9CF"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2F611C5B"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0.416</w:t>
            </w:r>
          </w:p>
        </w:tc>
      </w:tr>
      <w:tr w:rsidR="005E17F2" w:rsidRPr="00521259" w14:paraId="60C27258"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2AD69497" w14:textId="77777777" w:rsidR="005E17F2" w:rsidRPr="00521259" w:rsidRDefault="005E17F2" w:rsidP="00933705">
            <w:pPr>
              <w:jc w:val="center"/>
              <w:rPr>
                <w:color w:val="000000"/>
                <w:lang w:val="en-ID" w:eastAsia="en-ID"/>
              </w:rPr>
            </w:pPr>
          </w:p>
        </w:tc>
        <w:tc>
          <w:tcPr>
            <w:tcW w:w="1328" w:type="pct"/>
            <w:vMerge/>
          </w:tcPr>
          <w:p w14:paraId="050F364E"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33A312D2"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&gt; 400 m</w:t>
            </w:r>
          </w:p>
        </w:tc>
        <w:tc>
          <w:tcPr>
            <w:tcW w:w="558" w:type="pct"/>
            <w:vMerge/>
          </w:tcPr>
          <w:p w14:paraId="1215DCE1"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6BC76E5D"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5CE1E2B0"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0.208</w:t>
            </w:r>
          </w:p>
        </w:tc>
      </w:tr>
      <w:tr w:rsidR="005E17F2" w:rsidRPr="00521259" w14:paraId="25370E5C"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1EA99634" w14:textId="77777777" w:rsidR="005E17F2" w:rsidRPr="00521259" w:rsidRDefault="005E17F2" w:rsidP="00933705">
            <w:pPr>
              <w:jc w:val="center"/>
              <w:rPr>
                <w:rFonts w:cs="Calibri"/>
                <w:color w:val="000000"/>
                <w:lang w:val="en-ID" w:eastAsia="en-ID"/>
              </w:rPr>
            </w:pPr>
            <w:r w:rsidRPr="00521259">
              <w:rPr>
                <w:rFonts w:cs="Calibri"/>
                <w:color w:val="000000"/>
                <w:lang w:val="en-ID" w:eastAsia="en-ID"/>
              </w:rPr>
              <w:t>3.</w:t>
            </w:r>
          </w:p>
        </w:tc>
        <w:tc>
          <w:tcPr>
            <w:tcW w:w="1328" w:type="pct"/>
            <w:vMerge w:val="restart"/>
          </w:tcPr>
          <w:p w14:paraId="6AF40282"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C97649">
              <w:rPr>
                <w:rFonts w:cs="Calibri"/>
                <w:color w:val="000000"/>
                <w:lang w:val="en-ID" w:eastAsia="en-ID"/>
              </w:rPr>
              <w:t xml:space="preserve">Radius of </w:t>
            </w:r>
            <w:r>
              <w:rPr>
                <w:rFonts w:cs="Calibri"/>
                <w:color w:val="000000"/>
                <w:lang w:val="en-ID" w:eastAsia="en-ID"/>
              </w:rPr>
              <w:t>e</w:t>
            </w:r>
            <w:r w:rsidRPr="00C97649">
              <w:rPr>
                <w:rFonts w:cs="Calibri"/>
                <w:color w:val="000000"/>
                <w:lang w:val="en-ID" w:eastAsia="en-ID"/>
              </w:rPr>
              <w:t xml:space="preserve">ducational </w:t>
            </w:r>
            <w:r>
              <w:rPr>
                <w:rFonts w:cs="Calibri"/>
                <w:color w:val="000000"/>
                <w:lang w:val="en-ID" w:eastAsia="en-ID"/>
              </w:rPr>
              <w:t>f</w:t>
            </w:r>
            <w:r w:rsidRPr="00C97649">
              <w:rPr>
                <w:rFonts w:cs="Calibri"/>
                <w:color w:val="000000"/>
                <w:lang w:val="en-ID" w:eastAsia="en-ID"/>
              </w:rPr>
              <w:t>acilities</w:t>
            </w:r>
          </w:p>
        </w:tc>
        <w:tc>
          <w:tcPr>
            <w:tcW w:w="1910" w:type="pct"/>
          </w:tcPr>
          <w:p w14:paraId="2E112938"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 xml:space="preserve">&lt; 1 km </w:t>
            </w:r>
          </w:p>
        </w:tc>
        <w:tc>
          <w:tcPr>
            <w:tcW w:w="558" w:type="pct"/>
            <w:vMerge w:val="restart"/>
          </w:tcPr>
          <w:p w14:paraId="636703B6"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21259">
              <w:rPr>
                <w:color w:val="000000"/>
                <w:lang w:val="en-ID" w:eastAsia="en-ID"/>
              </w:rPr>
              <w:t>0.10</w:t>
            </w:r>
          </w:p>
        </w:tc>
        <w:tc>
          <w:tcPr>
            <w:tcW w:w="423" w:type="pct"/>
            <w:hideMark/>
          </w:tcPr>
          <w:p w14:paraId="02064A11"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5</w:t>
            </w:r>
          </w:p>
        </w:tc>
        <w:tc>
          <w:tcPr>
            <w:tcW w:w="558" w:type="pct"/>
            <w:hideMark/>
          </w:tcPr>
          <w:p w14:paraId="465425B3"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0.489</w:t>
            </w:r>
          </w:p>
        </w:tc>
      </w:tr>
      <w:tr w:rsidR="005E17F2" w:rsidRPr="00521259" w14:paraId="4EE2BEF4"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4C2EB118" w14:textId="77777777" w:rsidR="005E17F2" w:rsidRPr="00521259" w:rsidRDefault="005E17F2" w:rsidP="00933705">
            <w:pPr>
              <w:jc w:val="center"/>
              <w:rPr>
                <w:color w:val="000000"/>
                <w:lang w:val="en-ID" w:eastAsia="en-ID"/>
              </w:rPr>
            </w:pPr>
          </w:p>
        </w:tc>
        <w:tc>
          <w:tcPr>
            <w:tcW w:w="1328" w:type="pct"/>
            <w:vMerge/>
          </w:tcPr>
          <w:p w14:paraId="364CBF1C"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394C6366"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 km - 2 km</w:t>
            </w:r>
          </w:p>
        </w:tc>
        <w:tc>
          <w:tcPr>
            <w:tcW w:w="558" w:type="pct"/>
            <w:vMerge/>
          </w:tcPr>
          <w:p w14:paraId="428E0BCF"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5E67D02D"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4</w:t>
            </w:r>
          </w:p>
        </w:tc>
        <w:tc>
          <w:tcPr>
            <w:tcW w:w="558" w:type="pct"/>
            <w:hideMark/>
          </w:tcPr>
          <w:p w14:paraId="4FAA2F3B"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0.391</w:t>
            </w:r>
          </w:p>
        </w:tc>
      </w:tr>
      <w:tr w:rsidR="005E17F2" w:rsidRPr="00521259" w14:paraId="62049A58"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6BC46C48" w14:textId="77777777" w:rsidR="005E17F2" w:rsidRPr="00521259" w:rsidRDefault="005E17F2" w:rsidP="00933705">
            <w:pPr>
              <w:jc w:val="center"/>
              <w:rPr>
                <w:color w:val="000000"/>
                <w:lang w:val="en-ID" w:eastAsia="en-ID"/>
              </w:rPr>
            </w:pPr>
          </w:p>
        </w:tc>
        <w:tc>
          <w:tcPr>
            <w:tcW w:w="1328" w:type="pct"/>
            <w:vMerge/>
          </w:tcPr>
          <w:p w14:paraId="697AF798"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2D7982B9"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 km - 4 km</w:t>
            </w:r>
          </w:p>
        </w:tc>
        <w:tc>
          <w:tcPr>
            <w:tcW w:w="558" w:type="pct"/>
            <w:vMerge/>
          </w:tcPr>
          <w:p w14:paraId="2998BA64"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6333573B"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43A66885"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0.294</w:t>
            </w:r>
          </w:p>
        </w:tc>
      </w:tr>
      <w:tr w:rsidR="005E17F2" w:rsidRPr="00521259" w14:paraId="2920363B"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65A20E9D" w14:textId="77777777" w:rsidR="005E17F2" w:rsidRPr="00521259" w:rsidRDefault="005E17F2" w:rsidP="00933705">
            <w:pPr>
              <w:jc w:val="center"/>
              <w:rPr>
                <w:color w:val="000000"/>
                <w:lang w:val="en-ID" w:eastAsia="en-ID"/>
              </w:rPr>
            </w:pPr>
          </w:p>
        </w:tc>
        <w:tc>
          <w:tcPr>
            <w:tcW w:w="1328" w:type="pct"/>
            <w:vMerge/>
          </w:tcPr>
          <w:p w14:paraId="1517856A"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4265E7F5"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4 km - 8 km</w:t>
            </w:r>
          </w:p>
        </w:tc>
        <w:tc>
          <w:tcPr>
            <w:tcW w:w="558" w:type="pct"/>
            <w:vMerge/>
          </w:tcPr>
          <w:p w14:paraId="5A808189"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0EF65551"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1B33B129"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0.196</w:t>
            </w:r>
          </w:p>
        </w:tc>
      </w:tr>
      <w:tr w:rsidR="005E17F2" w:rsidRPr="00521259" w14:paraId="04628AE7"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53CD4216" w14:textId="77777777" w:rsidR="005E17F2" w:rsidRPr="00521259" w:rsidRDefault="005E17F2" w:rsidP="00933705">
            <w:pPr>
              <w:jc w:val="center"/>
              <w:rPr>
                <w:color w:val="000000"/>
                <w:lang w:val="en-ID" w:eastAsia="en-ID"/>
              </w:rPr>
            </w:pPr>
          </w:p>
        </w:tc>
        <w:tc>
          <w:tcPr>
            <w:tcW w:w="1328" w:type="pct"/>
            <w:vMerge/>
          </w:tcPr>
          <w:p w14:paraId="046D18DE"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685FAC13"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&gt; 8 km</w:t>
            </w:r>
          </w:p>
        </w:tc>
        <w:tc>
          <w:tcPr>
            <w:tcW w:w="558" w:type="pct"/>
            <w:vMerge/>
          </w:tcPr>
          <w:p w14:paraId="39595448"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33031FE7"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19EBC147"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0.098</w:t>
            </w:r>
          </w:p>
        </w:tc>
      </w:tr>
      <w:tr w:rsidR="005E17F2" w:rsidRPr="00521259" w14:paraId="53E300D8"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537765AE" w14:textId="77777777" w:rsidR="005E17F2" w:rsidRPr="00521259" w:rsidRDefault="005E17F2" w:rsidP="00933705">
            <w:pPr>
              <w:jc w:val="center"/>
              <w:rPr>
                <w:rFonts w:cs="Calibri"/>
                <w:color w:val="000000"/>
                <w:lang w:val="en-ID" w:eastAsia="en-ID"/>
              </w:rPr>
            </w:pPr>
            <w:r w:rsidRPr="00521259">
              <w:rPr>
                <w:rFonts w:cs="Calibri"/>
                <w:color w:val="000000"/>
                <w:lang w:val="en-ID" w:eastAsia="en-ID"/>
              </w:rPr>
              <w:t>4.</w:t>
            </w:r>
          </w:p>
        </w:tc>
        <w:tc>
          <w:tcPr>
            <w:tcW w:w="1328" w:type="pct"/>
            <w:vMerge w:val="restart"/>
          </w:tcPr>
          <w:p w14:paraId="2684B308"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C97649">
              <w:rPr>
                <w:rFonts w:cs="Calibri"/>
                <w:color w:val="000000"/>
                <w:lang w:val="en-ID" w:eastAsia="en-ID"/>
              </w:rPr>
              <w:t xml:space="preserve">Radius of </w:t>
            </w:r>
            <w:r>
              <w:rPr>
                <w:rFonts w:cs="Calibri"/>
                <w:color w:val="000000"/>
                <w:lang w:val="en-ID" w:eastAsia="en-ID"/>
              </w:rPr>
              <w:t>o</w:t>
            </w:r>
            <w:r w:rsidRPr="00C97649">
              <w:rPr>
                <w:rFonts w:cs="Calibri"/>
                <w:color w:val="000000"/>
                <w:lang w:val="en-ID" w:eastAsia="en-ID"/>
              </w:rPr>
              <w:t xml:space="preserve">ffice </w:t>
            </w:r>
            <w:r>
              <w:rPr>
                <w:rFonts w:cs="Calibri"/>
                <w:color w:val="000000"/>
                <w:lang w:val="en-ID" w:eastAsia="en-ID"/>
              </w:rPr>
              <w:t>a</w:t>
            </w:r>
            <w:r w:rsidRPr="00C97649">
              <w:rPr>
                <w:rFonts w:cs="Calibri"/>
                <w:color w:val="000000"/>
                <w:lang w:val="en-ID" w:eastAsia="en-ID"/>
              </w:rPr>
              <w:t>rea</w:t>
            </w:r>
          </w:p>
        </w:tc>
        <w:tc>
          <w:tcPr>
            <w:tcW w:w="1910" w:type="pct"/>
          </w:tcPr>
          <w:p w14:paraId="4BD5062F"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 xml:space="preserve">&lt; 1 km </w:t>
            </w:r>
          </w:p>
        </w:tc>
        <w:tc>
          <w:tcPr>
            <w:tcW w:w="558" w:type="pct"/>
            <w:vMerge w:val="restart"/>
          </w:tcPr>
          <w:p w14:paraId="465B0F77"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0.08</w:t>
            </w:r>
          </w:p>
        </w:tc>
        <w:tc>
          <w:tcPr>
            <w:tcW w:w="423" w:type="pct"/>
            <w:hideMark/>
          </w:tcPr>
          <w:p w14:paraId="2E6D32A1"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5</w:t>
            </w:r>
          </w:p>
        </w:tc>
        <w:tc>
          <w:tcPr>
            <w:tcW w:w="558" w:type="pct"/>
            <w:hideMark/>
          </w:tcPr>
          <w:p w14:paraId="2E3C21A2"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0.391</w:t>
            </w:r>
          </w:p>
        </w:tc>
      </w:tr>
      <w:tr w:rsidR="005E17F2" w:rsidRPr="00521259" w14:paraId="20A82C88"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46A432C3" w14:textId="77777777" w:rsidR="005E17F2" w:rsidRPr="00521259" w:rsidRDefault="005E17F2" w:rsidP="00933705">
            <w:pPr>
              <w:jc w:val="center"/>
              <w:rPr>
                <w:color w:val="000000"/>
                <w:lang w:val="en-ID" w:eastAsia="en-ID"/>
              </w:rPr>
            </w:pPr>
          </w:p>
        </w:tc>
        <w:tc>
          <w:tcPr>
            <w:tcW w:w="1328" w:type="pct"/>
            <w:vMerge/>
          </w:tcPr>
          <w:p w14:paraId="243C49F1"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37ED79FE"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 km - 2 km</w:t>
            </w:r>
          </w:p>
        </w:tc>
        <w:tc>
          <w:tcPr>
            <w:tcW w:w="558" w:type="pct"/>
            <w:vMerge/>
          </w:tcPr>
          <w:p w14:paraId="2C6DDE24"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0DEFCEE4"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4</w:t>
            </w:r>
          </w:p>
        </w:tc>
        <w:tc>
          <w:tcPr>
            <w:tcW w:w="558" w:type="pct"/>
            <w:hideMark/>
          </w:tcPr>
          <w:p w14:paraId="43E0C311"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0.313</w:t>
            </w:r>
          </w:p>
        </w:tc>
      </w:tr>
      <w:tr w:rsidR="005E17F2" w:rsidRPr="00521259" w14:paraId="1DB9A706"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6EC13093" w14:textId="77777777" w:rsidR="005E17F2" w:rsidRPr="00521259" w:rsidRDefault="005E17F2" w:rsidP="00933705">
            <w:pPr>
              <w:jc w:val="center"/>
              <w:rPr>
                <w:color w:val="000000"/>
                <w:lang w:val="en-ID" w:eastAsia="en-ID"/>
              </w:rPr>
            </w:pPr>
          </w:p>
        </w:tc>
        <w:tc>
          <w:tcPr>
            <w:tcW w:w="1328" w:type="pct"/>
            <w:vMerge/>
          </w:tcPr>
          <w:p w14:paraId="04716913"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0DD8A026"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2 km - 4 km</w:t>
            </w:r>
          </w:p>
        </w:tc>
        <w:tc>
          <w:tcPr>
            <w:tcW w:w="558" w:type="pct"/>
            <w:vMerge/>
          </w:tcPr>
          <w:p w14:paraId="4A8485A8"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59084C2E"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2E5F6BDC"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0.235</w:t>
            </w:r>
          </w:p>
        </w:tc>
      </w:tr>
      <w:tr w:rsidR="005E17F2" w:rsidRPr="00521259" w14:paraId="2034F1B7"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6494B52" w14:textId="77777777" w:rsidR="005E17F2" w:rsidRPr="00521259" w:rsidRDefault="005E17F2" w:rsidP="00933705">
            <w:pPr>
              <w:jc w:val="center"/>
              <w:rPr>
                <w:color w:val="000000"/>
                <w:lang w:val="en-ID" w:eastAsia="en-ID"/>
              </w:rPr>
            </w:pPr>
          </w:p>
        </w:tc>
        <w:tc>
          <w:tcPr>
            <w:tcW w:w="1328" w:type="pct"/>
            <w:vMerge/>
          </w:tcPr>
          <w:p w14:paraId="74DB8731"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24DE4D20"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4 km - 8 km</w:t>
            </w:r>
          </w:p>
        </w:tc>
        <w:tc>
          <w:tcPr>
            <w:tcW w:w="558" w:type="pct"/>
            <w:vMerge/>
          </w:tcPr>
          <w:p w14:paraId="7F4194DF"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11F91D76"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1CEBE174"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0.157</w:t>
            </w:r>
          </w:p>
        </w:tc>
      </w:tr>
      <w:tr w:rsidR="005E17F2" w:rsidRPr="00521259" w14:paraId="16AD8975"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2A29B367" w14:textId="77777777" w:rsidR="005E17F2" w:rsidRPr="00521259" w:rsidRDefault="005E17F2" w:rsidP="00933705">
            <w:pPr>
              <w:jc w:val="center"/>
              <w:rPr>
                <w:color w:val="000000"/>
                <w:lang w:val="en-ID" w:eastAsia="en-ID"/>
              </w:rPr>
            </w:pPr>
          </w:p>
        </w:tc>
        <w:tc>
          <w:tcPr>
            <w:tcW w:w="1328" w:type="pct"/>
            <w:vMerge/>
          </w:tcPr>
          <w:p w14:paraId="1CD4398E"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14B0CCD6"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&gt; 8 km</w:t>
            </w:r>
          </w:p>
        </w:tc>
        <w:tc>
          <w:tcPr>
            <w:tcW w:w="558" w:type="pct"/>
            <w:vMerge/>
          </w:tcPr>
          <w:p w14:paraId="5DAEF5D2"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1C196F74"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16D579C7"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0.078</w:t>
            </w:r>
          </w:p>
        </w:tc>
      </w:tr>
      <w:tr w:rsidR="005E17F2" w:rsidRPr="00521259" w14:paraId="268E6F7F"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1A7F0FE5" w14:textId="77777777" w:rsidR="005E17F2" w:rsidRPr="00521259" w:rsidRDefault="005E17F2" w:rsidP="00933705">
            <w:pPr>
              <w:jc w:val="center"/>
              <w:rPr>
                <w:rFonts w:cs="Calibri"/>
                <w:color w:val="000000"/>
                <w:lang w:val="en-ID" w:eastAsia="en-ID"/>
              </w:rPr>
            </w:pPr>
            <w:r w:rsidRPr="00521259">
              <w:rPr>
                <w:rFonts w:cs="Calibri"/>
                <w:color w:val="000000"/>
                <w:lang w:val="en-ID" w:eastAsia="en-ID"/>
              </w:rPr>
              <w:t>5.</w:t>
            </w:r>
          </w:p>
        </w:tc>
        <w:tc>
          <w:tcPr>
            <w:tcW w:w="1328" w:type="pct"/>
            <w:vMerge w:val="restart"/>
          </w:tcPr>
          <w:p w14:paraId="1791751F"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C97649">
              <w:rPr>
                <w:rFonts w:cs="Calibri"/>
                <w:color w:val="000000"/>
                <w:lang w:val="en-ID" w:eastAsia="en-ID"/>
              </w:rPr>
              <w:t xml:space="preserve">Radius of </w:t>
            </w:r>
            <w:r>
              <w:rPr>
                <w:rFonts w:cs="Calibri"/>
                <w:color w:val="000000"/>
                <w:lang w:val="en-ID" w:eastAsia="en-ID"/>
              </w:rPr>
              <w:t>h</w:t>
            </w:r>
            <w:r w:rsidRPr="00C97649">
              <w:rPr>
                <w:rFonts w:cs="Calibri"/>
                <w:color w:val="000000"/>
                <w:lang w:val="en-ID" w:eastAsia="en-ID"/>
              </w:rPr>
              <w:t xml:space="preserve">ealth </w:t>
            </w:r>
            <w:r>
              <w:rPr>
                <w:rFonts w:cs="Calibri"/>
                <w:color w:val="000000"/>
                <w:lang w:val="en-ID" w:eastAsia="en-ID"/>
              </w:rPr>
              <w:t>f</w:t>
            </w:r>
            <w:r w:rsidRPr="00C97649">
              <w:rPr>
                <w:rFonts w:cs="Calibri"/>
                <w:color w:val="000000"/>
                <w:lang w:val="en-ID" w:eastAsia="en-ID"/>
              </w:rPr>
              <w:t>acilities</w:t>
            </w:r>
          </w:p>
        </w:tc>
        <w:tc>
          <w:tcPr>
            <w:tcW w:w="1910" w:type="pct"/>
          </w:tcPr>
          <w:p w14:paraId="4246F131"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&gt; 8 km</w:t>
            </w:r>
          </w:p>
        </w:tc>
        <w:tc>
          <w:tcPr>
            <w:tcW w:w="558" w:type="pct"/>
            <w:vMerge w:val="restart"/>
          </w:tcPr>
          <w:p w14:paraId="369FB0DB"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21259">
              <w:rPr>
                <w:color w:val="000000"/>
                <w:lang w:val="en-ID" w:eastAsia="en-ID"/>
              </w:rPr>
              <w:t>0.24</w:t>
            </w:r>
          </w:p>
        </w:tc>
        <w:tc>
          <w:tcPr>
            <w:tcW w:w="423" w:type="pct"/>
            <w:hideMark/>
          </w:tcPr>
          <w:p w14:paraId="2750830C"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5</w:t>
            </w:r>
          </w:p>
        </w:tc>
        <w:tc>
          <w:tcPr>
            <w:tcW w:w="558" w:type="pct"/>
            <w:hideMark/>
          </w:tcPr>
          <w:p w14:paraId="56C033C2"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1.211</w:t>
            </w:r>
          </w:p>
        </w:tc>
      </w:tr>
      <w:tr w:rsidR="005E17F2" w:rsidRPr="00521259" w14:paraId="29E27F2D"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415822B2" w14:textId="77777777" w:rsidR="005E17F2" w:rsidRPr="00521259" w:rsidRDefault="005E17F2" w:rsidP="00933705">
            <w:pPr>
              <w:jc w:val="center"/>
              <w:rPr>
                <w:color w:val="000000"/>
                <w:lang w:val="en-ID" w:eastAsia="en-ID"/>
              </w:rPr>
            </w:pPr>
          </w:p>
        </w:tc>
        <w:tc>
          <w:tcPr>
            <w:tcW w:w="1328" w:type="pct"/>
            <w:vMerge/>
          </w:tcPr>
          <w:p w14:paraId="6D37CC0C"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109BC9D8"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4 km - 8 km</w:t>
            </w:r>
          </w:p>
        </w:tc>
        <w:tc>
          <w:tcPr>
            <w:tcW w:w="558" w:type="pct"/>
            <w:vMerge/>
          </w:tcPr>
          <w:p w14:paraId="439B2315"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319DBEA3"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4</w:t>
            </w:r>
          </w:p>
        </w:tc>
        <w:tc>
          <w:tcPr>
            <w:tcW w:w="558" w:type="pct"/>
            <w:hideMark/>
          </w:tcPr>
          <w:p w14:paraId="0BA73D2C"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0.969</w:t>
            </w:r>
          </w:p>
        </w:tc>
      </w:tr>
      <w:tr w:rsidR="005E17F2" w:rsidRPr="00521259" w14:paraId="16C570BF"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7135B20B" w14:textId="77777777" w:rsidR="005E17F2" w:rsidRPr="00521259" w:rsidRDefault="005E17F2" w:rsidP="00933705">
            <w:pPr>
              <w:jc w:val="center"/>
              <w:rPr>
                <w:color w:val="000000"/>
                <w:lang w:val="en-ID" w:eastAsia="en-ID"/>
              </w:rPr>
            </w:pPr>
          </w:p>
        </w:tc>
        <w:tc>
          <w:tcPr>
            <w:tcW w:w="1328" w:type="pct"/>
            <w:vMerge/>
          </w:tcPr>
          <w:p w14:paraId="33FC41E3"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6F787EE6"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 km - 4 km</w:t>
            </w:r>
          </w:p>
        </w:tc>
        <w:tc>
          <w:tcPr>
            <w:tcW w:w="558" w:type="pct"/>
            <w:vMerge/>
          </w:tcPr>
          <w:p w14:paraId="7CA92ACC"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00DBCE06"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0B7B5DAD"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0.727</w:t>
            </w:r>
          </w:p>
        </w:tc>
      </w:tr>
      <w:tr w:rsidR="005E17F2" w:rsidRPr="00521259" w14:paraId="2DC9AD6A"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2F830586" w14:textId="77777777" w:rsidR="005E17F2" w:rsidRPr="00521259" w:rsidRDefault="005E17F2" w:rsidP="00933705">
            <w:pPr>
              <w:jc w:val="center"/>
              <w:rPr>
                <w:color w:val="000000"/>
                <w:lang w:val="en-ID" w:eastAsia="en-ID"/>
              </w:rPr>
            </w:pPr>
          </w:p>
        </w:tc>
        <w:tc>
          <w:tcPr>
            <w:tcW w:w="1328" w:type="pct"/>
            <w:vMerge/>
          </w:tcPr>
          <w:p w14:paraId="5077B55E"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1B75A484"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 km - 2 km</w:t>
            </w:r>
          </w:p>
        </w:tc>
        <w:tc>
          <w:tcPr>
            <w:tcW w:w="558" w:type="pct"/>
            <w:vMerge/>
          </w:tcPr>
          <w:p w14:paraId="0B351128"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0DDFDDA9"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604763BA"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0.484</w:t>
            </w:r>
          </w:p>
        </w:tc>
      </w:tr>
      <w:tr w:rsidR="005E17F2" w:rsidRPr="00521259" w14:paraId="23F90819"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2D0E82FE" w14:textId="77777777" w:rsidR="005E17F2" w:rsidRPr="00521259" w:rsidRDefault="005E17F2" w:rsidP="00933705">
            <w:pPr>
              <w:jc w:val="center"/>
              <w:rPr>
                <w:color w:val="000000"/>
                <w:lang w:val="en-ID" w:eastAsia="en-ID"/>
              </w:rPr>
            </w:pPr>
          </w:p>
        </w:tc>
        <w:tc>
          <w:tcPr>
            <w:tcW w:w="1328" w:type="pct"/>
            <w:vMerge/>
          </w:tcPr>
          <w:p w14:paraId="20C408B1"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1B8E2D8B"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 xml:space="preserve">&lt; 1 km </w:t>
            </w:r>
          </w:p>
        </w:tc>
        <w:tc>
          <w:tcPr>
            <w:tcW w:w="558" w:type="pct"/>
            <w:vMerge/>
          </w:tcPr>
          <w:p w14:paraId="3875ECA9"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1F04EDF5"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1B298C53"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0.242</w:t>
            </w:r>
          </w:p>
        </w:tc>
      </w:tr>
      <w:tr w:rsidR="005E17F2" w:rsidRPr="00521259" w14:paraId="62F77920"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val="restart"/>
          </w:tcPr>
          <w:p w14:paraId="23B8668C" w14:textId="77777777" w:rsidR="005E17F2" w:rsidRPr="00521259" w:rsidRDefault="005E17F2" w:rsidP="00933705">
            <w:pPr>
              <w:jc w:val="center"/>
              <w:rPr>
                <w:color w:val="000000"/>
                <w:lang w:val="en-ID" w:eastAsia="en-ID"/>
              </w:rPr>
            </w:pPr>
            <w:bookmarkStart w:id="0" w:name="_Hlk75162290"/>
            <w:r w:rsidRPr="00521259">
              <w:rPr>
                <w:color w:val="000000"/>
                <w:lang w:val="en-ID" w:eastAsia="en-ID"/>
              </w:rPr>
              <w:t>6.</w:t>
            </w:r>
          </w:p>
        </w:tc>
        <w:tc>
          <w:tcPr>
            <w:tcW w:w="1328" w:type="pct"/>
            <w:vMerge w:val="restart"/>
          </w:tcPr>
          <w:p w14:paraId="7442DCED"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 xml:space="preserve">Land </w:t>
            </w:r>
            <w:r>
              <w:rPr>
                <w:color w:val="000000"/>
                <w:lang w:val="en-ID" w:eastAsia="en-ID"/>
              </w:rPr>
              <w:t>u</w:t>
            </w:r>
            <w:r w:rsidRPr="00521259">
              <w:rPr>
                <w:color w:val="000000"/>
                <w:lang w:val="en-ID" w:eastAsia="en-ID"/>
              </w:rPr>
              <w:t>se</w:t>
            </w:r>
          </w:p>
        </w:tc>
        <w:tc>
          <w:tcPr>
            <w:tcW w:w="1910" w:type="pct"/>
          </w:tcPr>
          <w:p w14:paraId="442268A8"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Water Bodies</w:t>
            </w:r>
          </w:p>
        </w:tc>
        <w:tc>
          <w:tcPr>
            <w:tcW w:w="558" w:type="pct"/>
            <w:vMerge w:val="restart"/>
          </w:tcPr>
          <w:p w14:paraId="7715D8E8"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0.04</w:t>
            </w:r>
          </w:p>
        </w:tc>
        <w:tc>
          <w:tcPr>
            <w:tcW w:w="423" w:type="pct"/>
            <w:hideMark/>
          </w:tcPr>
          <w:p w14:paraId="1C2F415B"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5</w:t>
            </w:r>
          </w:p>
        </w:tc>
        <w:tc>
          <w:tcPr>
            <w:tcW w:w="558" w:type="pct"/>
            <w:hideMark/>
          </w:tcPr>
          <w:p w14:paraId="5BEB0A50"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1.211</w:t>
            </w:r>
          </w:p>
        </w:tc>
      </w:tr>
      <w:tr w:rsidR="005E17F2" w:rsidRPr="00521259" w14:paraId="2A3B6820"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4AEEA734" w14:textId="77777777" w:rsidR="005E17F2" w:rsidRPr="00521259" w:rsidRDefault="005E17F2" w:rsidP="00933705">
            <w:pPr>
              <w:rPr>
                <w:color w:val="000000"/>
                <w:lang w:val="en-ID" w:eastAsia="en-ID"/>
              </w:rPr>
            </w:pPr>
          </w:p>
        </w:tc>
        <w:tc>
          <w:tcPr>
            <w:tcW w:w="1328" w:type="pct"/>
            <w:vMerge/>
          </w:tcPr>
          <w:p w14:paraId="409142EB"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1FC100B9"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21259">
              <w:rPr>
                <w:color w:val="000000"/>
                <w:lang w:val="en-ID" w:eastAsia="en-ID"/>
              </w:rPr>
              <w:t>Settlement</w:t>
            </w:r>
          </w:p>
        </w:tc>
        <w:tc>
          <w:tcPr>
            <w:tcW w:w="558" w:type="pct"/>
            <w:vMerge/>
          </w:tcPr>
          <w:p w14:paraId="4A457A65"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66754F94"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4</w:t>
            </w:r>
          </w:p>
        </w:tc>
        <w:tc>
          <w:tcPr>
            <w:tcW w:w="558" w:type="pct"/>
            <w:hideMark/>
          </w:tcPr>
          <w:p w14:paraId="3D7AC745"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0.969</w:t>
            </w:r>
          </w:p>
        </w:tc>
      </w:tr>
      <w:tr w:rsidR="005E17F2" w:rsidRPr="00521259" w14:paraId="5FE39BBC"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44166718" w14:textId="77777777" w:rsidR="005E17F2" w:rsidRPr="00521259" w:rsidRDefault="005E17F2" w:rsidP="00933705">
            <w:pPr>
              <w:rPr>
                <w:color w:val="000000"/>
                <w:lang w:val="en-ID" w:eastAsia="en-ID"/>
              </w:rPr>
            </w:pPr>
          </w:p>
        </w:tc>
        <w:tc>
          <w:tcPr>
            <w:tcW w:w="1328" w:type="pct"/>
            <w:vMerge/>
          </w:tcPr>
          <w:p w14:paraId="2A7DEAE6"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3BA9319A"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Plantation/Agriculture</w:t>
            </w:r>
          </w:p>
        </w:tc>
        <w:tc>
          <w:tcPr>
            <w:tcW w:w="558" w:type="pct"/>
            <w:vMerge/>
          </w:tcPr>
          <w:p w14:paraId="64E0B5B0"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1BA70B7D"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3</w:t>
            </w:r>
          </w:p>
        </w:tc>
        <w:tc>
          <w:tcPr>
            <w:tcW w:w="558" w:type="pct"/>
            <w:hideMark/>
          </w:tcPr>
          <w:p w14:paraId="7270791F"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0.727</w:t>
            </w:r>
          </w:p>
        </w:tc>
      </w:tr>
      <w:tr w:rsidR="005E17F2" w:rsidRPr="00521259" w14:paraId="3AD10DDC" w14:textId="77777777" w:rsidTr="005E17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39DA76B4" w14:textId="77777777" w:rsidR="005E17F2" w:rsidRPr="00521259" w:rsidRDefault="005E17F2" w:rsidP="00933705">
            <w:pPr>
              <w:rPr>
                <w:color w:val="000000"/>
                <w:lang w:val="en-ID" w:eastAsia="en-ID"/>
              </w:rPr>
            </w:pPr>
          </w:p>
        </w:tc>
        <w:tc>
          <w:tcPr>
            <w:tcW w:w="1328" w:type="pct"/>
            <w:vMerge/>
          </w:tcPr>
          <w:p w14:paraId="0D08B774" w14:textId="77777777" w:rsidR="005E17F2" w:rsidRPr="00F715C0"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1910" w:type="pct"/>
          </w:tcPr>
          <w:p w14:paraId="22728B60" w14:textId="77777777" w:rsidR="005E17F2" w:rsidRPr="00521259" w:rsidRDefault="005E17F2" w:rsidP="00933705">
            <w:pP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521259">
              <w:rPr>
                <w:color w:val="000000"/>
                <w:lang w:val="en-ID" w:eastAsia="en-ID"/>
              </w:rPr>
              <w:t>Shrubs/Open Area</w:t>
            </w:r>
          </w:p>
        </w:tc>
        <w:tc>
          <w:tcPr>
            <w:tcW w:w="558" w:type="pct"/>
            <w:vMerge/>
          </w:tcPr>
          <w:p w14:paraId="1F599820" w14:textId="77777777" w:rsidR="005E17F2" w:rsidRPr="00521259"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p>
        </w:tc>
        <w:tc>
          <w:tcPr>
            <w:tcW w:w="423" w:type="pct"/>
            <w:hideMark/>
          </w:tcPr>
          <w:p w14:paraId="4B2DCA95"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2</w:t>
            </w:r>
          </w:p>
        </w:tc>
        <w:tc>
          <w:tcPr>
            <w:tcW w:w="558" w:type="pct"/>
            <w:hideMark/>
          </w:tcPr>
          <w:p w14:paraId="36C1907E" w14:textId="77777777" w:rsidR="005E17F2" w:rsidRPr="00F715C0" w:rsidRDefault="005E17F2" w:rsidP="00933705">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F715C0">
              <w:rPr>
                <w:color w:val="000000"/>
                <w:lang w:val="en-ID" w:eastAsia="en-ID"/>
              </w:rPr>
              <w:t>0.484</w:t>
            </w:r>
          </w:p>
        </w:tc>
      </w:tr>
      <w:tr w:rsidR="005E17F2" w:rsidRPr="00521259" w14:paraId="6AD2FE2B" w14:textId="77777777" w:rsidTr="005E17F2">
        <w:trPr>
          <w:trHeight w:val="20"/>
        </w:trPr>
        <w:tc>
          <w:tcPr>
            <w:cnfStyle w:val="001000000000" w:firstRow="0" w:lastRow="0" w:firstColumn="1" w:lastColumn="0" w:oddVBand="0" w:evenVBand="0" w:oddHBand="0" w:evenHBand="0" w:firstRowFirstColumn="0" w:firstRowLastColumn="0" w:lastRowFirstColumn="0" w:lastRowLastColumn="0"/>
            <w:tcW w:w="223" w:type="pct"/>
            <w:vMerge/>
          </w:tcPr>
          <w:p w14:paraId="010D93D5" w14:textId="77777777" w:rsidR="005E17F2" w:rsidRPr="00521259" w:rsidRDefault="005E17F2" w:rsidP="00933705">
            <w:pPr>
              <w:rPr>
                <w:color w:val="000000"/>
                <w:lang w:val="en-ID" w:eastAsia="en-ID"/>
              </w:rPr>
            </w:pPr>
          </w:p>
        </w:tc>
        <w:tc>
          <w:tcPr>
            <w:tcW w:w="1328" w:type="pct"/>
            <w:vMerge/>
          </w:tcPr>
          <w:p w14:paraId="00ECFCDE" w14:textId="77777777" w:rsidR="005E17F2" w:rsidRPr="00F715C0"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1910" w:type="pct"/>
          </w:tcPr>
          <w:p w14:paraId="1EAD83C1" w14:textId="77777777" w:rsidR="005E17F2" w:rsidRPr="00521259" w:rsidRDefault="005E17F2" w:rsidP="00933705">
            <w:pP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521259">
              <w:rPr>
                <w:color w:val="000000"/>
                <w:lang w:val="en-ID" w:eastAsia="en-ID"/>
              </w:rPr>
              <w:t>Forest</w:t>
            </w:r>
          </w:p>
        </w:tc>
        <w:tc>
          <w:tcPr>
            <w:tcW w:w="558" w:type="pct"/>
            <w:vMerge/>
          </w:tcPr>
          <w:p w14:paraId="01A43D72" w14:textId="77777777" w:rsidR="005E17F2" w:rsidRPr="00521259"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p>
        </w:tc>
        <w:tc>
          <w:tcPr>
            <w:tcW w:w="423" w:type="pct"/>
            <w:hideMark/>
          </w:tcPr>
          <w:p w14:paraId="14D5FDB2"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1</w:t>
            </w:r>
          </w:p>
        </w:tc>
        <w:tc>
          <w:tcPr>
            <w:tcW w:w="558" w:type="pct"/>
            <w:hideMark/>
          </w:tcPr>
          <w:p w14:paraId="70724521" w14:textId="77777777" w:rsidR="005E17F2" w:rsidRPr="00F715C0" w:rsidRDefault="005E17F2" w:rsidP="00933705">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F715C0">
              <w:rPr>
                <w:color w:val="000000"/>
                <w:lang w:val="en-ID" w:eastAsia="en-ID"/>
              </w:rPr>
              <w:t>0.242</w:t>
            </w:r>
          </w:p>
        </w:tc>
      </w:tr>
      <w:bookmarkEnd w:id="0"/>
    </w:tbl>
    <w:p w14:paraId="3B6DA923" w14:textId="77777777" w:rsidR="005E17F2" w:rsidRDefault="005E17F2" w:rsidP="000B34E1">
      <w:pPr>
        <w:jc w:val="both"/>
      </w:pPr>
    </w:p>
    <w:p w14:paraId="78FE84BE" w14:textId="677D4F97" w:rsidR="005E17F2" w:rsidRPr="00C97649" w:rsidRDefault="00B0270D" w:rsidP="000B34E1">
      <w:pPr>
        <w:ind w:firstLine="720"/>
        <w:jc w:val="both"/>
      </w:pPr>
      <w:r w:rsidRPr="00B0270D">
        <w:t xml:space="preserve">As shown in Fig. 3, the </w:t>
      </w:r>
      <w:r>
        <w:t xml:space="preserve">DF </w:t>
      </w:r>
      <w:r w:rsidRPr="00B0270D">
        <w:t xml:space="preserve">vulnerability map produced by combining population density, distance to the road, radius of health facilities, radius of educational facilities, radius of office area, and land use highlights five classes (very low to very high). </w:t>
      </w:r>
      <w:r w:rsidR="005E17F2">
        <w:t>In the next step, from Eq. (1), probability DF V</w:t>
      </w:r>
      <w:r w:rsidR="005E17F2" w:rsidRPr="007463C3">
        <w:t>ulnerability</w:t>
      </w:r>
      <w:r w:rsidR="005E17F2">
        <w:t xml:space="preserve"> was calculated which has the range from </w:t>
      </w:r>
      <w:r w:rsidR="005E17F2" w:rsidRPr="002B7163">
        <w:t>&lt;2.036</w:t>
      </w:r>
      <w:r w:rsidR="005E17F2">
        <w:t xml:space="preserve"> to </w:t>
      </w:r>
      <w:r w:rsidR="005E17F2" w:rsidRPr="002B7163">
        <w:t>&gt;4.525</w:t>
      </w:r>
      <w:r w:rsidR="005E17F2">
        <w:t>. This index represents the predicted DF v</w:t>
      </w:r>
      <w:r w:rsidR="005E17F2" w:rsidRPr="007463C3">
        <w:t>ulnerability</w:t>
      </w:r>
      <w:r w:rsidR="005E17F2">
        <w:t xml:space="preserve"> for each grid in the presence of a given set of conditioning factors. DF V</w:t>
      </w:r>
      <w:r w:rsidR="005E17F2" w:rsidRPr="007463C3">
        <w:t>ulnerability</w:t>
      </w:r>
      <w:r w:rsidR="005E17F2">
        <w:t xml:space="preserve"> map was prepared through the popular method adopted in the literature by dividing the v</w:t>
      </w:r>
      <w:r w:rsidR="005E17F2" w:rsidRPr="007463C3">
        <w:t>ulnerability</w:t>
      </w:r>
      <w:r w:rsidR="005E17F2">
        <w:t xml:space="preserve"> map into specific number of classes</w:t>
      </w:r>
      <w:r w:rsidR="005E17F2" w:rsidRPr="005E17F2">
        <w:t>.</w:t>
      </w:r>
      <w:r w:rsidR="005E17F2">
        <w:t xml:space="preserve"> The range of values of DF v</w:t>
      </w:r>
      <w:r w:rsidR="005E17F2" w:rsidRPr="007463C3">
        <w:t>ulnerability</w:t>
      </w:r>
      <w:r w:rsidR="005E17F2">
        <w:t xml:space="preserve"> map was classified using quantile method into five categories of very low (&lt;2.036), </w:t>
      </w:r>
      <w:r w:rsidR="005E17F2" w:rsidRPr="00077845">
        <w:t>low (</w:t>
      </w:r>
      <w:r w:rsidR="005E17F2" w:rsidRPr="00BB17B3">
        <w:t>2.036</w:t>
      </w:r>
      <w:r w:rsidR="005E17F2">
        <w:t xml:space="preserve"> – 2.866</w:t>
      </w:r>
      <w:r w:rsidR="005E17F2" w:rsidRPr="00077845">
        <w:t>), moderate (</w:t>
      </w:r>
      <w:r w:rsidR="005E17F2" w:rsidRPr="00BB17B3">
        <w:t>2.866</w:t>
      </w:r>
      <w:r w:rsidR="005E17F2">
        <w:t xml:space="preserve"> – 3.696</w:t>
      </w:r>
      <w:r w:rsidR="005E17F2" w:rsidRPr="00077845">
        <w:t>), high (</w:t>
      </w:r>
      <w:r w:rsidR="005E17F2" w:rsidRPr="00BB17B3">
        <w:t>3.696</w:t>
      </w:r>
      <w:r w:rsidR="005E17F2">
        <w:t xml:space="preserve"> – 4.525</w:t>
      </w:r>
      <w:r w:rsidR="005E17F2" w:rsidRPr="00077845">
        <w:t>) and very high (</w:t>
      </w:r>
      <w:r w:rsidR="005E17F2">
        <w:t>&gt;</w:t>
      </w:r>
      <w:r w:rsidR="005E17F2" w:rsidRPr="00BB17B3">
        <w:t>4.525</w:t>
      </w:r>
      <w:r w:rsidR="005E17F2" w:rsidRPr="00077845">
        <w:t xml:space="preserve">). The </w:t>
      </w:r>
      <w:r w:rsidR="005E17F2">
        <w:t>DF v</w:t>
      </w:r>
      <w:r w:rsidR="005E17F2" w:rsidRPr="007463C3">
        <w:t>ulnerability</w:t>
      </w:r>
      <w:r w:rsidR="005E17F2">
        <w:t xml:space="preserve"> </w:t>
      </w:r>
      <w:r w:rsidR="005E17F2" w:rsidRPr="00077845">
        <w:t xml:space="preserve">map produced using the ensemble </w:t>
      </w:r>
      <w:r w:rsidR="005E17F2">
        <w:t xml:space="preserve">DFV </w:t>
      </w:r>
      <w:r w:rsidR="005E17F2" w:rsidRPr="00077845">
        <w:t>model</w:t>
      </w:r>
      <w:r w:rsidR="005E17F2">
        <w:t xml:space="preserve"> (Eq. 2</w:t>
      </w:r>
      <w:proofErr w:type="gramStart"/>
      <w:r w:rsidR="005E17F2">
        <w:t>)</w:t>
      </w:r>
      <w:r w:rsidR="005E17F2" w:rsidRPr="00077845">
        <w:t xml:space="preserve">  is</w:t>
      </w:r>
      <w:proofErr w:type="gramEnd"/>
      <w:r w:rsidR="005E17F2" w:rsidRPr="00077845">
        <w:t xml:space="preserve"> shown in Fig. </w:t>
      </w:r>
      <w:r w:rsidR="005E17F2">
        <w:t>3</w:t>
      </w:r>
      <w:r w:rsidR="005E17F2" w:rsidRPr="00077845">
        <w:t>.</w:t>
      </w:r>
    </w:p>
    <w:p w14:paraId="573775D7" w14:textId="77777777" w:rsidR="005E17F2" w:rsidRDefault="005E17F2" w:rsidP="000B34E1">
      <w:pPr>
        <w:spacing w:before="120" w:after="120"/>
        <w:jc w:val="center"/>
      </w:pPr>
      <w:r>
        <w:rPr>
          <w:noProof/>
        </w:rPr>
        <w:drawing>
          <wp:inline distT="0" distB="0" distL="0" distR="0" wp14:anchorId="6F14CB8B" wp14:editId="60A6E965">
            <wp:extent cx="5579871" cy="394525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9271" cy="3951901"/>
                    </a:xfrm>
                    <a:prstGeom prst="rect">
                      <a:avLst/>
                    </a:prstGeom>
                    <a:noFill/>
                    <a:ln>
                      <a:noFill/>
                    </a:ln>
                  </pic:spPr>
                </pic:pic>
              </a:graphicData>
            </a:graphic>
          </wp:inline>
        </w:drawing>
      </w:r>
    </w:p>
    <w:p w14:paraId="05B0AD06" w14:textId="04BEBF6D" w:rsidR="005E17F2" w:rsidRDefault="005E17F2" w:rsidP="005E17F2">
      <w:pPr>
        <w:jc w:val="center"/>
      </w:pPr>
      <w:r>
        <w:t xml:space="preserve">Figure 3. Distribution of DHF </w:t>
      </w:r>
      <w:r w:rsidRPr="007463C3">
        <w:t>vulnerability</w:t>
      </w:r>
      <w:r>
        <w:t xml:space="preserve"> class</w:t>
      </w:r>
    </w:p>
    <w:p w14:paraId="24C259F1" w14:textId="77777777" w:rsidR="00B0270D" w:rsidRDefault="00B0270D" w:rsidP="005E17F2">
      <w:pPr>
        <w:jc w:val="center"/>
      </w:pPr>
    </w:p>
    <w:p w14:paraId="745BDC34" w14:textId="3220B331" w:rsidR="00B0270D" w:rsidRDefault="00B0270D" w:rsidP="00B0270D">
      <w:pPr>
        <w:ind w:firstLine="720"/>
        <w:jc w:val="both"/>
      </w:pPr>
      <w:r w:rsidRPr="00B0270D">
        <w:t>The very low and low classes account for 16.06</w:t>
      </w:r>
      <w:r>
        <w:t>%</w:t>
      </w:r>
      <w:r w:rsidRPr="00B0270D">
        <w:t>and 65.08</w:t>
      </w:r>
      <w:r>
        <w:t>%</w:t>
      </w:r>
      <w:r w:rsidRPr="00B0270D">
        <w:t xml:space="preserve"> of the Gorontalo Regency, respectively. It is primarily areas with forest and plantation, with a lower population density.</w:t>
      </w:r>
      <w:r>
        <w:t xml:space="preserve"> </w:t>
      </w:r>
      <w:r w:rsidRPr="00B0270D">
        <w:t xml:space="preserve">The proportions of areas covered by the moderate and high classes of vulnerability are 17.71% and 0.08 percent, respectively. According </w:t>
      </w:r>
      <w:r w:rsidRPr="00B0270D">
        <w:lastRenderedPageBreak/>
        <w:t>to the analysis, all of these areas of moderate and high vulnerability are dominated by their proximity to public facilities and roads, distance from health facilities, high population density, and settlement within the Gorontalo Regency.</w:t>
      </w:r>
    </w:p>
    <w:p w14:paraId="65EA7294" w14:textId="77777777" w:rsidR="005E17F2" w:rsidRPr="00651B9E" w:rsidRDefault="005E17F2" w:rsidP="005E17F2">
      <w:pPr>
        <w:spacing w:after="120"/>
        <w:jc w:val="center"/>
      </w:pPr>
      <w:r w:rsidRPr="00651B9E">
        <w:t xml:space="preserve">Table </w:t>
      </w:r>
      <w:r>
        <w:t>8.</w:t>
      </w:r>
      <w:r w:rsidRPr="00651B9E">
        <w:t xml:space="preserve"> </w:t>
      </w:r>
      <w:r>
        <w:t xml:space="preserve">Distribution of DHF </w:t>
      </w:r>
      <w:r w:rsidRPr="007463C3">
        <w:t>vulnerability</w:t>
      </w:r>
      <w:r>
        <w:t xml:space="preserve"> class</w:t>
      </w:r>
    </w:p>
    <w:tbl>
      <w:tblPr>
        <w:tblStyle w:val="PlainTable2"/>
        <w:tblW w:w="5000" w:type="pct"/>
        <w:tblLook w:val="04A0" w:firstRow="1" w:lastRow="0" w:firstColumn="1" w:lastColumn="0" w:noHBand="0" w:noVBand="1"/>
      </w:tblPr>
      <w:tblGrid>
        <w:gridCol w:w="2719"/>
        <w:gridCol w:w="2552"/>
        <w:gridCol w:w="1930"/>
        <w:gridCol w:w="1587"/>
      </w:tblGrid>
      <w:tr w:rsidR="005E17F2" w:rsidRPr="004504D1" w14:paraId="007DC045" w14:textId="77777777" w:rsidTr="005E17F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6E3A88D4" w14:textId="77777777" w:rsidR="005E17F2" w:rsidRPr="004504D1" w:rsidRDefault="005E17F2" w:rsidP="00933705">
            <w:pPr>
              <w:jc w:val="center"/>
              <w:rPr>
                <w:rFonts w:cs="Calibri"/>
                <w:b w:val="0"/>
                <w:bCs w:val="0"/>
                <w:color w:val="000000"/>
                <w:lang w:val="en-ID" w:eastAsia="en-ID"/>
              </w:rPr>
            </w:pPr>
            <w:r w:rsidRPr="007463C3">
              <w:t xml:space="preserve">DHF </w:t>
            </w:r>
            <w:r>
              <w:t>V</w:t>
            </w:r>
            <w:r w:rsidRPr="007463C3">
              <w:t>ulnerability</w:t>
            </w:r>
            <w:r>
              <w:t xml:space="preserve"> Class</w:t>
            </w:r>
          </w:p>
        </w:tc>
        <w:tc>
          <w:tcPr>
            <w:tcW w:w="1452" w:type="pct"/>
            <w:noWrap/>
            <w:hideMark/>
          </w:tcPr>
          <w:p w14:paraId="56A030E3" w14:textId="77777777" w:rsidR="005E17F2" w:rsidRPr="004504D1"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Pr>
                <w:rFonts w:cs="Calibri"/>
                <w:color w:val="000000"/>
                <w:lang w:val="en-ID" w:eastAsia="en-ID"/>
              </w:rPr>
              <w:t>Range Weight</w:t>
            </w:r>
          </w:p>
        </w:tc>
        <w:tc>
          <w:tcPr>
            <w:tcW w:w="1098" w:type="pct"/>
            <w:noWrap/>
            <w:hideMark/>
          </w:tcPr>
          <w:p w14:paraId="5A8068AD" w14:textId="77777777" w:rsidR="005E17F2"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Pr>
                <w:rFonts w:cs="Calibri"/>
                <w:color w:val="000000"/>
                <w:lang w:val="en-ID" w:eastAsia="en-ID"/>
              </w:rPr>
              <w:t>Area</w:t>
            </w:r>
          </w:p>
          <w:p w14:paraId="0B3CAA7D" w14:textId="77777777" w:rsidR="005E17F2" w:rsidRPr="004504D1"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4504D1">
              <w:rPr>
                <w:rFonts w:cs="Calibri"/>
                <w:color w:val="000000"/>
                <w:lang w:val="en-ID" w:eastAsia="en-ID"/>
              </w:rPr>
              <w:t>(Ha)</w:t>
            </w:r>
          </w:p>
        </w:tc>
        <w:tc>
          <w:tcPr>
            <w:tcW w:w="903" w:type="pct"/>
            <w:noWrap/>
            <w:hideMark/>
          </w:tcPr>
          <w:p w14:paraId="316537A1" w14:textId="77777777" w:rsidR="005E17F2"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sidRPr="004504D1">
              <w:rPr>
                <w:rFonts w:cs="Calibri"/>
                <w:color w:val="000000"/>
                <w:lang w:val="en-ID" w:eastAsia="en-ID"/>
              </w:rPr>
              <w:t>%</w:t>
            </w:r>
          </w:p>
          <w:p w14:paraId="1313FA80" w14:textId="77777777" w:rsidR="005E17F2" w:rsidRPr="004504D1" w:rsidRDefault="005E17F2" w:rsidP="0093370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lang w:val="en-ID" w:eastAsia="en-ID"/>
              </w:rPr>
            </w:pPr>
            <w:r>
              <w:rPr>
                <w:rFonts w:cs="Calibri"/>
                <w:color w:val="000000"/>
                <w:lang w:val="en-ID" w:eastAsia="en-ID"/>
              </w:rPr>
              <w:t>Area</w:t>
            </w:r>
          </w:p>
        </w:tc>
      </w:tr>
      <w:tr w:rsidR="005E17F2" w:rsidRPr="004504D1" w14:paraId="15F82529" w14:textId="77777777" w:rsidTr="005E17F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7345BA48" w14:textId="77777777" w:rsidR="005E17F2" w:rsidRPr="004504D1" w:rsidRDefault="005E17F2" w:rsidP="00933705">
            <w:pPr>
              <w:rPr>
                <w:rFonts w:cs="Calibri"/>
                <w:color w:val="000000"/>
                <w:lang w:val="en-ID" w:eastAsia="en-ID"/>
              </w:rPr>
            </w:pPr>
            <w:r w:rsidRPr="004504D1">
              <w:rPr>
                <w:rFonts w:cs="Calibri"/>
                <w:color w:val="000000"/>
                <w:lang w:val="en-ID" w:eastAsia="en-ID"/>
              </w:rPr>
              <w:t>Very Low</w:t>
            </w:r>
          </w:p>
        </w:tc>
        <w:tc>
          <w:tcPr>
            <w:tcW w:w="1452" w:type="pct"/>
            <w:noWrap/>
          </w:tcPr>
          <w:p w14:paraId="5508443B" w14:textId="77777777" w:rsidR="005E17F2" w:rsidRPr="004504D1"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t>&lt;2.036</w:t>
            </w:r>
          </w:p>
        </w:tc>
        <w:tc>
          <w:tcPr>
            <w:tcW w:w="1098" w:type="pct"/>
            <w:noWrap/>
          </w:tcPr>
          <w:p w14:paraId="392E7C5A" w14:textId="6AA9A79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34</w:t>
            </w:r>
            <w:r w:rsidR="000B34E1">
              <w:t>,</w:t>
            </w:r>
            <w:r w:rsidRPr="00365662">
              <w:t>425.6</w:t>
            </w:r>
          </w:p>
        </w:tc>
        <w:tc>
          <w:tcPr>
            <w:tcW w:w="903" w:type="pct"/>
            <w:noWrap/>
          </w:tcPr>
          <w:p w14:paraId="47655845" w14:textId="7777777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16.06</w:t>
            </w:r>
          </w:p>
        </w:tc>
      </w:tr>
      <w:tr w:rsidR="005E17F2" w:rsidRPr="004504D1" w14:paraId="72218C5A" w14:textId="77777777" w:rsidTr="005E17F2">
        <w:trPr>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6BB6646B" w14:textId="77777777" w:rsidR="005E17F2" w:rsidRPr="004504D1" w:rsidRDefault="005E17F2" w:rsidP="00933705">
            <w:pPr>
              <w:rPr>
                <w:rFonts w:cs="Calibri"/>
                <w:color w:val="000000"/>
                <w:lang w:val="en-ID" w:eastAsia="en-ID"/>
              </w:rPr>
            </w:pPr>
            <w:r w:rsidRPr="004504D1">
              <w:rPr>
                <w:rFonts w:cs="Calibri"/>
                <w:color w:val="000000"/>
                <w:lang w:val="en-ID" w:eastAsia="en-ID"/>
              </w:rPr>
              <w:t>Low</w:t>
            </w:r>
          </w:p>
        </w:tc>
        <w:tc>
          <w:tcPr>
            <w:tcW w:w="1452" w:type="pct"/>
            <w:noWrap/>
          </w:tcPr>
          <w:p w14:paraId="4F37447F" w14:textId="77777777" w:rsidR="005E17F2" w:rsidRPr="004504D1"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BB17B3">
              <w:t>2.036</w:t>
            </w:r>
            <w:r>
              <w:t xml:space="preserve"> – 2.866</w:t>
            </w:r>
          </w:p>
        </w:tc>
        <w:tc>
          <w:tcPr>
            <w:tcW w:w="1098" w:type="pct"/>
            <w:noWrap/>
          </w:tcPr>
          <w:p w14:paraId="164B9E12" w14:textId="098F3DC0"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139</w:t>
            </w:r>
            <w:r w:rsidR="000B34E1">
              <w:t>,</w:t>
            </w:r>
            <w:r w:rsidRPr="00365662">
              <w:t>493.5</w:t>
            </w:r>
          </w:p>
        </w:tc>
        <w:tc>
          <w:tcPr>
            <w:tcW w:w="903" w:type="pct"/>
            <w:noWrap/>
          </w:tcPr>
          <w:p w14:paraId="6DFBDB86" w14:textId="77777777"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65.08</w:t>
            </w:r>
          </w:p>
        </w:tc>
      </w:tr>
      <w:tr w:rsidR="005E17F2" w:rsidRPr="004504D1" w14:paraId="3CF5BC2E" w14:textId="77777777" w:rsidTr="005E17F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0C124F76" w14:textId="77777777" w:rsidR="005E17F2" w:rsidRPr="004504D1" w:rsidRDefault="005E17F2" w:rsidP="00933705">
            <w:pPr>
              <w:rPr>
                <w:rFonts w:cs="Calibri"/>
                <w:color w:val="000000"/>
                <w:lang w:val="en-ID" w:eastAsia="en-ID"/>
              </w:rPr>
            </w:pPr>
            <w:r w:rsidRPr="004504D1">
              <w:rPr>
                <w:rFonts w:cs="Calibri"/>
                <w:color w:val="000000"/>
                <w:lang w:val="en-ID" w:eastAsia="en-ID"/>
              </w:rPr>
              <w:t>Moderate</w:t>
            </w:r>
          </w:p>
        </w:tc>
        <w:tc>
          <w:tcPr>
            <w:tcW w:w="1452" w:type="pct"/>
            <w:noWrap/>
          </w:tcPr>
          <w:p w14:paraId="357F1199" w14:textId="77777777" w:rsidR="005E17F2" w:rsidRPr="004504D1"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BB17B3">
              <w:t>2.866</w:t>
            </w:r>
            <w:r>
              <w:t xml:space="preserve"> – 3.696</w:t>
            </w:r>
          </w:p>
        </w:tc>
        <w:tc>
          <w:tcPr>
            <w:tcW w:w="1098" w:type="pct"/>
            <w:noWrap/>
          </w:tcPr>
          <w:p w14:paraId="66D2E91B" w14:textId="5740A5D2"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37</w:t>
            </w:r>
            <w:r w:rsidR="000B34E1">
              <w:t>,</w:t>
            </w:r>
            <w:r w:rsidRPr="00365662">
              <w:t>963.8</w:t>
            </w:r>
          </w:p>
        </w:tc>
        <w:tc>
          <w:tcPr>
            <w:tcW w:w="903" w:type="pct"/>
            <w:noWrap/>
          </w:tcPr>
          <w:p w14:paraId="4445986F" w14:textId="7777777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17.71</w:t>
            </w:r>
          </w:p>
        </w:tc>
      </w:tr>
      <w:tr w:rsidR="005E17F2" w:rsidRPr="004504D1" w14:paraId="1E6F6EC0" w14:textId="77777777" w:rsidTr="005E17F2">
        <w:trPr>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3A411318" w14:textId="77777777" w:rsidR="005E17F2" w:rsidRPr="004504D1" w:rsidRDefault="005E17F2" w:rsidP="00933705">
            <w:pPr>
              <w:rPr>
                <w:rFonts w:cs="Calibri"/>
                <w:color w:val="000000"/>
                <w:lang w:val="en-ID" w:eastAsia="en-ID"/>
              </w:rPr>
            </w:pPr>
            <w:r w:rsidRPr="004504D1">
              <w:rPr>
                <w:rFonts w:cs="Calibri"/>
                <w:color w:val="000000"/>
                <w:lang w:val="en-ID" w:eastAsia="en-ID"/>
              </w:rPr>
              <w:t>High</w:t>
            </w:r>
          </w:p>
        </w:tc>
        <w:tc>
          <w:tcPr>
            <w:tcW w:w="1452" w:type="pct"/>
            <w:noWrap/>
          </w:tcPr>
          <w:p w14:paraId="6D864626" w14:textId="77777777" w:rsidR="005E17F2" w:rsidRPr="004504D1"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BB17B3">
              <w:t>3.696</w:t>
            </w:r>
            <w:r>
              <w:t xml:space="preserve"> – 4.525</w:t>
            </w:r>
          </w:p>
        </w:tc>
        <w:tc>
          <w:tcPr>
            <w:tcW w:w="1098" w:type="pct"/>
            <w:noWrap/>
          </w:tcPr>
          <w:p w14:paraId="533E161E" w14:textId="77777777"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163.5</w:t>
            </w:r>
          </w:p>
        </w:tc>
        <w:tc>
          <w:tcPr>
            <w:tcW w:w="903" w:type="pct"/>
            <w:noWrap/>
          </w:tcPr>
          <w:p w14:paraId="0FE34F8C" w14:textId="77777777"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0.08</w:t>
            </w:r>
          </w:p>
        </w:tc>
      </w:tr>
      <w:tr w:rsidR="005E17F2" w:rsidRPr="004504D1" w14:paraId="73E901E0" w14:textId="77777777" w:rsidTr="005E17F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33F87AC4" w14:textId="77777777" w:rsidR="005E17F2" w:rsidRPr="004504D1" w:rsidRDefault="005E17F2" w:rsidP="00933705">
            <w:pPr>
              <w:rPr>
                <w:rFonts w:cs="Calibri"/>
                <w:color w:val="000000"/>
                <w:lang w:val="en-ID" w:eastAsia="en-ID"/>
              </w:rPr>
            </w:pPr>
            <w:r w:rsidRPr="004504D1">
              <w:rPr>
                <w:rFonts w:cs="Calibri"/>
                <w:color w:val="000000"/>
                <w:lang w:val="en-ID" w:eastAsia="en-ID"/>
              </w:rPr>
              <w:t>Very High</w:t>
            </w:r>
          </w:p>
        </w:tc>
        <w:tc>
          <w:tcPr>
            <w:tcW w:w="1452" w:type="pct"/>
            <w:noWrap/>
          </w:tcPr>
          <w:p w14:paraId="5E8A81D3" w14:textId="77777777" w:rsidR="005E17F2" w:rsidRPr="004504D1" w:rsidRDefault="005E17F2" w:rsidP="00933705">
            <w:pPr>
              <w:jc w:val="center"/>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t>&gt;</w:t>
            </w:r>
            <w:r w:rsidRPr="00BB17B3">
              <w:t>4.525</w:t>
            </w:r>
          </w:p>
        </w:tc>
        <w:tc>
          <w:tcPr>
            <w:tcW w:w="1098" w:type="pct"/>
            <w:noWrap/>
          </w:tcPr>
          <w:p w14:paraId="02A36694" w14:textId="7777777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0.0</w:t>
            </w:r>
          </w:p>
        </w:tc>
        <w:tc>
          <w:tcPr>
            <w:tcW w:w="903" w:type="pct"/>
            <w:noWrap/>
          </w:tcPr>
          <w:p w14:paraId="51A2F6F5" w14:textId="7777777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color w:val="000000"/>
                <w:lang w:val="en-ID" w:eastAsia="en-ID"/>
              </w:rPr>
            </w:pPr>
            <w:r w:rsidRPr="00365662">
              <w:t>0</w:t>
            </w:r>
          </w:p>
        </w:tc>
      </w:tr>
      <w:tr w:rsidR="005E17F2" w:rsidRPr="004504D1" w14:paraId="35DCABB2" w14:textId="77777777" w:rsidTr="005E17F2">
        <w:trPr>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4CF9DC4B" w14:textId="77777777" w:rsidR="005E17F2" w:rsidRPr="004504D1" w:rsidRDefault="005E17F2" w:rsidP="00933705">
            <w:pPr>
              <w:rPr>
                <w:rFonts w:cs="Calibri"/>
                <w:color w:val="000000"/>
                <w:lang w:val="en-ID" w:eastAsia="en-ID"/>
              </w:rPr>
            </w:pPr>
            <w:proofErr w:type="spellStart"/>
            <w:r w:rsidRPr="004504D1">
              <w:rPr>
                <w:rFonts w:cs="Calibri"/>
                <w:color w:val="000000"/>
                <w:lang w:val="en-ID" w:eastAsia="en-ID"/>
              </w:rPr>
              <w:t>Limboto</w:t>
            </w:r>
            <w:proofErr w:type="spellEnd"/>
            <w:r w:rsidRPr="004504D1">
              <w:rPr>
                <w:rFonts w:cs="Calibri"/>
                <w:color w:val="000000"/>
                <w:lang w:val="en-ID" w:eastAsia="en-ID"/>
              </w:rPr>
              <w:t xml:space="preserve"> Lake</w:t>
            </w:r>
          </w:p>
        </w:tc>
        <w:tc>
          <w:tcPr>
            <w:tcW w:w="1452" w:type="pct"/>
            <w:noWrap/>
          </w:tcPr>
          <w:p w14:paraId="28851512" w14:textId="77777777" w:rsidR="005E17F2" w:rsidRPr="004504D1" w:rsidRDefault="005E17F2" w:rsidP="00933705">
            <w:pPr>
              <w:jc w:val="center"/>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p>
        </w:tc>
        <w:tc>
          <w:tcPr>
            <w:tcW w:w="1098" w:type="pct"/>
            <w:noWrap/>
          </w:tcPr>
          <w:p w14:paraId="148615A1" w14:textId="66265688"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2</w:t>
            </w:r>
            <w:r w:rsidR="000B34E1">
              <w:t>,</w:t>
            </w:r>
            <w:r w:rsidRPr="00365662">
              <w:t>295.5</w:t>
            </w:r>
          </w:p>
        </w:tc>
        <w:tc>
          <w:tcPr>
            <w:tcW w:w="903" w:type="pct"/>
            <w:noWrap/>
          </w:tcPr>
          <w:p w14:paraId="76F87CE7" w14:textId="77777777" w:rsidR="005E17F2" w:rsidRPr="004504D1" w:rsidRDefault="005E17F2" w:rsidP="00933705">
            <w:pPr>
              <w:jc w:val="right"/>
              <w:cnfStyle w:val="000000000000" w:firstRow="0" w:lastRow="0" w:firstColumn="0" w:lastColumn="0" w:oddVBand="0" w:evenVBand="0" w:oddHBand="0" w:evenHBand="0" w:firstRowFirstColumn="0" w:firstRowLastColumn="0" w:lastRowFirstColumn="0" w:lastRowLastColumn="0"/>
              <w:rPr>
                <w:rFonts w:cs="Calibri"/>
                <w:color w:val="000000"/>
                <w:lang w:val="en-ID" w:eastAsia="en-ID"/>
              </w:rPr>
            </w:pPr>
            <w:r w:rsidRPr="00365662">
              <w:t>1.07</w:t>
            </w:r>
          </w:p>
        </w:tc>
      </w:tr>
      <w:tr w:rsidR="005E17F2" w:rsidRPr="004504D1" w14:paraId="14968886" w14:textId="77777777" w:rsidTr="005E17F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7" w:type="pct"/>
            <w:noWrap/>
            <w:hideMark/>
          </w:tcPr>
          <w:p w14:paraId="6DB39637" w14:textId="77777777" w:rsidR="005E17F2" w:rsidRPr="004504D1" w:rsidRDefault="005E17F2" w:rsidP="00933705">
            <w:pPr>
              <w:jc w:val="center"/>
              <w:rPr>
                <w:rFonts w:cs="Calibri"/>
                <w:b w:val="0"/>
                <w:bCs w:val="0"/>
                <w:color w:val="000000"/>
                <w:lang w:val="en-ID" w:eastAsia="en-ID"/>
              </w:rPr>
            </w:pPr>
            <w:r w:rsidRPr="004504D1">
              <w:rPr>
                <w:rFonts w:cs="Calibri"/>
                <w:color w:val="000000"/>
                <w:lang w:val="en-ID" w:eastAsia="en-ID"/>
              </w:rPr>
              <w:t>Total</w:t>
            </w:r>
          </w:p>
        </w:tc>
        <w:tc>
          <w:tcPr>
            <w:tcW w:w="1452" w:type="pct"/>
            <w:noWrap/>
          </w:tcPr>
          <w:p w14:paraId="1D96B1EC" w14:textId="77777777" w:rsidR="005E17F2" w:rsidRPr="004504D1" w:rsidRDefault="005E17F2" w:rsidP="00933705">
            <w:pPr>
              <w:cnfStyle w:val="000000100000" w:firstRow="0" w:lastRow="0" w:firstColumn="0" w:lastColumn="0" w:oddVBand="0" w:evenVBand="0" w:oddHBand="1" w:evenHBand="0" w:firstRowFirstColumn="0" w:firstRowLastColumn="0" w:lastRowFirstColumn="0" w:lastRowLastColumn="0"/>
              <w:rPr>
                <w:b/>
                <w:bCs/>
                <w:lang w:val="en-ID" w:eastAsia="en-ID"/>
              </w:rPr>
            </w:pPr>
          </w:p>
        </w:tc>
        <w:tc>
          <w:tcPr>
            <w:tcW w:w="1098" w:type="pct"/>
            <w:noWrap/>
          </w:tcPr>
          <w:p w14:paraId="39345A9D" w14:textId="67D2992A"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365662">
              <w:t>214</w:t>
            </w:r>
            <w:r w:rsidR="000B34E1">
              <w:t>,</w:t>
            </w:r>
            <w:r w:rsidRPr="00365662">
              <w:t>341.9</w:t>
            </w:r>
          </w:p>
        </w:tc>
        <w:tc>
          <w:tcPr>
            <w:tcW w:w="903" w:type="pct"/>
            <w:noWrap/>
          </w:tcPr>
          <w:p w14:paraId="28851580" w14:textId="77777777" w:rsidR="005E17F2" w:rsidRPr="004504D1" w:rsidRDefault="005E17F2" w:rsidP="00933705">
            <w:pPr>
              <w:jc w:val="right"/>
              <w:cnfStyle w:val="000000100000" w:firstRow="0" w:lastRow="0" w:firstColumn="0" w:lastColumn="0" w:oddVBand="0" w:evenVBand="0" w:oddHBand="1" w:evenHBand="0" w:firstRowFirstColumn="0" w:firstRowLastColumn="0" w:lastRowFirstColumn="0" w:lastRowLastColumn="0"/>
              <w:rPr>
                <w:rFonts w:cs="Calibri"/>
                <w:b/>
                <w:bCs/>
                <w:color w:val="000000"/>
                <w:lang w:val="en-ID" w:eastAsia="en-ID"/>
              </w:rPr>
            </w:pPr>
            <w:r w:rsidRPr="00365662">
              <w:t>100</w:t>
            </w:r>
          </w:p>
        </w:tc>
      </w:tr>
    </w:tbl>
    <w:p w14:paraId="7E2B2294" w14:textId="77777777" w:rsidR="000F279B" w:rsidRPr="003D5B84" w:rsidRDefault="000F279B" w:rsidP="00904D6D">
      <w:pPr>
        <w:rPr>
          <w:b/>
          <w:bCs/>
          <w:lang w:val="id-ID"/>
        </w:rPr>
      </w:pPr>
    </w:p>
    <w:p w14:paraId="57DA8FE9" w14:textId="75C9A303" w:rsidR="00904D6D" w:rsidRPr="005E17F2" w:rsidRDefault="00904D6D" w:rsidP="00904D6D">
      <w:pPr>
        <w:rPr>
          <w:b/>
          <w:bCs/>
        </w:rPr>
      </w:pPr>
      <w:r w:rsidRPr="003D5B84">
        <w:rPr>
          <w:b/>
          <w:bCs/>
          <w:lang w:val="id-ID"/>
        </w:rPr>
        <w:t xml:space="preserve">3.2. </w:t>
      </w:r>
      <w:r w:rsidR="00D74C5F">
        <w:rPr>
          <w:b/>
          <w:bCs/>
        </w:rPr>
        <w:t xml:space="preserve"> </w:t>
      </w:r>
      <w:r w:rsidR="005E17F2">
        <w:rPr>
          <w:b/>
          <w:bCs/>
        </w:rPr>
        <w:t>Discussions</w:t>
      </w:r>
    </w:p>
    <w:p w14:paraId="785AA102" w14:textId="0618B707" w:rsidR="005E17F2" w:rsidRDefault="005E17F2" w:rsidP="003C13AD">
      <w:pPr>
        <w:ind w:firstLine="720"/>
        <w:jc w:val="both"/>
      </w:pPr>
      <w:r w:rsidRPr="00012140">
        <w:t>Many studies have found that environmental factors play a role in dengue transmission and distribution. Environmental parameters can have an impact on the transmission pattern of DF in both direct and indirect ways. A direct impact can be defined as changes in environmental conditions that influence the trend of dengue transmission and distribution pattern.</w:t>
      </w:r>
      <w:r>
        <w:t xml:space="preserve"> </w:t>
      </w:r>
      <w:r w:rsidRPr="00012140">
        <w:t xml:space="preserve">Human population dynamics and their effects on exposure </w:t>
      </w:r>
      <w:r w:rsidRPr="007463C3">
        <w:t>vulnerability</w:t>
      </w:r>
      <w:r w:rsidRPr="00012140">
        <w:t xml:space="preserve"> and other landscape features are two examples of environmental parameters that have an indirect impact on the trend of dengue transmission and distribution</w:t>
      </w:r>
      <w:r>
        <w:t xml:space="preserve"> </w:t>
      </w:r>
      <w:r>
        <w:fldChar w:fldCharType="begin" w:fldLock="1"/>
      </w:r>
      <w:r w:rsidR="00B0270D">
        <w:instrText>ADDIN CSL_CITATION {"citationItems":[{"id":"ITEM-1","itemData":{"ISBN":"2222-1808","abstract":"Objective: To highlight the use of analytical hierarchy process (AHP) in geographical information system that incorporates environmental indices to generate dengue risk zonation area. Methods: The medical database considered for the study was referenced to the environmental data layers. Factors related to the risk of dengue fever (DF) were selected throughout previous research and were arranged in a hierarchical structure. The relative weights of factors were calculated, which were within acceptable range with the consistency ratio being less than 0.1. The outcomes from AHP based DF risk zonation area produced useful information on different levels of risks. Results: As a result, factor weights used in AHP were evaluated and found to be acceptable as the consistency ratio of 0.05, which was &lt;0.1. The most influential factors were found to be housing types, population density, land-use and elevation. Findings from this study provided valuable insights that could potentially enhance public health initiatives. The geographical information system and spatial analytical method could be applied to augment surveillance strategies of DF and other communicable diseases in an effort to promote actions of prevention and control. The disease surveillance data obtained could be integrated with environmental database in a synergistic way, which will in turn provide additional input towards the development of epidemic forecasting models. Conclusions: This attempt, if successful, will have significant implications that could strengthen public health interventions and offers priorities in designing the most optimum and sustainable control program to combat dengue in Malaysia.","author":[{"dropping-particle":"","family":"Dom","given":"N.C.","non-dropping-particle":"","parse-names":false,"suffix":""},{"dropping-particle":"","family":"Ahmad","given":"A.H.","non-dropping-particle":"","parse-names":false,"suffix":""},{"dropping-particle":"","family":"Latif","given":"Z.A.","non-dropping-particle":"","parse-names":false,"suffix":""},{"dropping-particle":"","family":"Ismail","given":"R.","non-dropping-particle":"","parse-names":false,"suffix":""}],"container-title":"Asian Pacific Journal of Tropical Disease","id":"ITEM-1","issue":"12","issued":{"date-parts":[["2016"]]},"page":"928-935","title":"Application of geographical information system-based analytical hierarchy process as a tool for dengue risk assessment","type":"article-journal","volume":"6"},"uris":["http://www.mendeley.com/documents/?uuid=15fc7897-9c90-45b4-a258-86c29a410a1c"]}],"mendeley":{"formattedCitation":"[13]","plainTextFormattedCitation":"[13]","previouslyFormattedCitation":"[13]"},"properties":{"noteIndex":0},"schema":"https://github.com/citation-style-language/schema/raw/master/csl-citation.json"}</w:instrText>
      </w:r>
      <w:r>
        <w:fldChar w:fldCharType="separate"/>
      </w:r>
      <w:r w:rsidRPr="005E17F2">
        <w:rPr>
          <w:noProof/>
        </w:rPr>
        <w:t>[13]</w:t>
      </w:r>
      <w:r>
        <w:fldChar w:fldCharType="end"/>
      </w:r>
      <w:r w:rsidRPr="00012140">
        <w:t>.</w:t>
      </w:r>
      <w:r>
        <w:t xml:space="preserve"> </w:t>
      </w:r>
      <w:r w:rsidRPr="00012140">
        <w:t>Based on the combination of multiple variables using AHP, the overall model of DF risk in Gorontalo Regency shows that the vulnerability area is mostly confined to areas with a high population density</w:t>
      </w:r>
      <w:r>
        <w:t xml:space="preserve">. </w:t>
      </w:r>
      <w:r w:rsidRPr="00012140">
        <w:t>This finding is consistent with the findings of several studies, which found that DF risk cases increased in areas with a high population density</w:t>
      </w:r>
      <w:r>
        <w:t xml:space="preserve"> </w:t>
      </w:r>
      <w:r>
        <w:fldChar w:fldCharType="begin" w:fldLock="1"/>
      </w:r>
      <w:r w:rsidR="00B768AE">
        <w:instrText>ADDIN CSL_CITATION {"citationItems":[{"id":"ITEM-1","itemData":{"DOI":"10.21109/kesmas.v13i4.2701","ISSN":"24600601","abstract":"Kupang, East Nusa Tenggara is an area with low rainfall where the highest East Nusa Tenggara number of Dengue Hemorrhagic Fever (DHF) cases are recorded; this number is also higher than the national figure. This study analyzed the relationship between housing conditions and DHF incidence in Kupang City. This observational study used a case-control method with 240 DHF patient cases and 280 not patient controls without DHF from 12 villages in the rainy season and 13 villages in the dry season. The following data were collected: house size, house lighting, house temperature, water usage, wall construction, ventilation size, ventilation condition, and ownership of a clean water facility. These data were analyzed using t-test and Chi-square test. The following house condition variables were significantly related to DHF incidence (p-value ≤ 0.05): house lighting, water usage, house wall, ventilation area, and ownership of clean water facilities. This means that house condition is related to the incidence of dengue in Kupang City. Attention and intervention are needed in these areas, as well as attention to other factors outside house condition.","author":[{"dropping-particle":"","family":"Wanti","given":"","non-dropping-particle":"","parse-names":false,"suffix":""},{"dropping-particle":"","family":"Yudhastuti","given":"Ririh","non-dropping-particle":"","parse-names":false,"suffix":""},{"dropping-particle":"","family":"Notobroto","given":"Hari B.","non-dropping-particle":"","parse-names":false,"suffix":""},{"dropping-particle":"","family":"Subekti","given":"Sri","non-dropping-particle":"","parse-names":false,"suffix":""},{"dropping-particle":"","family":"Sila","given":"Oktafianus","non-dropping-particle":"","parse-names":false,"suffix":""},{"dropping-particle":"","family":"Kristina","given":"Ragu H.","non-dropping-particle":"","parse-names":false,"suffix":""},{"dropping-particle":"","family":"Dwirahmadi","given":"Febi","non-dropping-particle":"","parse-names":false,"suffix":""}],"container-title":"Kesmas","id":"ITEM-1","issue":"4","issued":{"date-parts":[["2019"]]},"page":"177-182","title":"Dengue hemorrhagic fever and house conditions in Kupang City, East Nusa Tenggara Province","type":"article-journal","volume":"13"},"uris":["http://www.mendeley.com/documents/?uuid=f189d44a-8660-4b53-b320-2be4c017f0c3"]},{"id":"ITEM-2","itemData":{"DOI":"10.22435/hsji.v11i1.3150","ISSN":"2087-7021","abstract":"Latar belakang: Bandung memiliki daerah perkotaan dengan kualitas bangunan rumah yang memadai, namun masih memiliki kasus endemik Demam Berdarah Dengue (DBD) yang tinggi. Penelitian ini bertujuan untuk mengetahui karakteristik kejadian demam berdarah di tingkat rumah tangga.\r Metode: Data dianalisis dari 781 rumah tangga yang terdiri dari 261 kasus dan 522 kontrol. Pemilihan sampel menggunakan metode kasus kontrol berpasangan dengan rasio 1:2. Tahapan penelitian terdiri dari pengamatan status rumah menggunakan form ceklis pemeriksaan dan wawancara menggunakan kuesioner tertutup. Analisis data korelasi pairwise spearmen, kemudian regresi logistik biner digunakan untuk prediksi faktor risiko.\r Hasil: Faktor risiko usia produktif dan rendahnya tingkat pendidikan kepala keluarga, toilet yang kotor, dan status rumah tidak sehat memiliki pengaruh yang signifikan terhadap peningkatan kasus demam berdarah di Kota Bandung ((p&lt;0.05). Faktor determinan adalah usia produktif kepala keluarga (31 - 60 tahun) dimana memiliki kemungkinan 2,53 (95%CI 1.34-4.78;p&lt;0.05) kali lebih besar untuk memiliki anggota rumah tangga yang menderita DBD di Bandung.\r Kesimpulan: Usia dan pendidikan kepala rumah tangga, kebersihan toilet dan status rumah sehat memilikiperan penting dalam mempengaruhi kejadian demam berdarah. Dengan demikian, petugas kesehatanperlu melakukan promosi kesehatan mengenai DBD secara intensif kepada kepala rumah tangga.\r Kata kunci: Demam Berdarah Dengue (DBD), kepala rumah tangga, usia, sanitasi rumah, Kota Bandung\r  \r Abstract\r Background: Bandung have urban areas with adequate housebuilding quality, yet still has high Dengue endemic cases. This study aims to investigate the characteristics of dengue incidence at the household level.\r Methods: Data analyzed from 781 households consisted of 261 cases and 522 controls. We applied matched case-control samples with a ratio of 1:2 (case: controls). The stages of the research consisted of a house status observation using a form inspection checklist and interviews using a closed-ended questionnaire. The data analyzed by pairwise spearmen correlation and binary logistic regression for risk factor prediction.\r Results: Risk factors for productive age and low level of education of family heads, dirty toilets, and unhealthy house status have a significant effect on the increase of dengue cases in Bandung (p&lt;0.05). The determinant factor is the productive age of the head of the family (31 - 60 years), it means that the…","author":[{"dropping-particle":"","family":"Fuadzy","given":"Hubullah","non-dropping-particle":"","parse-names":false,"suffix":""},{"dropping-particle":"","family":"Widawati","given":"Mutiara","non-dropping-particle":"","parse-names":false,"suffix":""},{"dropping-particle":"","family":"Astuti","given":"Endang P.","non-dropping-particle":"","parse-names":false,"suffix":""},{"dropping-particle":"","family":"Prasetyowati","given":"Heni","non-dropping-particle":"","parse-names":false,"suffix":""},{"dropping-particle":"","family":"Hendri","given":"Joni","non-dropping-particle":"","parse-names":false,"suffix":""},{"dropping-particle":"","family":"Nurindra","given":"Rohmansyah W.","non-dropping-particle":"","parse-names":false,"suffix":""},{"dropping-particle":"","family":"Hodijah","given":"Dewi N.","non-dropping-particle":"","parse-names":false,"suffix":""}],"container-title":"Health Science Journal of Indonesia","id":"ITEM-2","issue":"1","issued":{"date-parts":[["2020"]]},"page":"45-51","title":"Risk factors associated with Dengue incidence in Bandung, Indonesia: a household based case-control study","type":"article-journal","volume":"11"},"uris":["http://www.mendeley.com/documents/?uuid=402cdbb9-1bea-413f-8fab-747f54c59089"]}],"mendeley":{"formattedCitation":"[28], [29]","plainTextFormattedCitation":"[28], [29]","previouslyFormattedCitation":"[27], [28]"},"properties":{"noteIndex":0},"schema":"https://github.com/citation-style-language/schema/raw/master/csl-citation.json"}</w:instrText>
      </w:r>
      <w:r>
        <w:fldChar w:fldCharType="separate"/>
      </w:r>
      <w:r w:rsidR="00B768AE" w:rsidRPr="00B768AE">
        <w:rPr>
          <w:noProof/>
        </w:rPr>
        <w:t>[28], [29]</w:t>
      </w:r>
      <w:r>
        <w:fldChar w:fldCharType="end"/>
      </w:r>
      <w:r w:rsidRPr="00012140">
        <w:t>.</w:t>
      </w:r>
      <w:r>
        <w:t xml:space="preserve"> </w:t>
      </w:r>
      <w:r w:rsidRPr="00750351">
        <w:t xml:space="preserve">The higher the population of an area, the greater the potential for </w:t>
      </w:r>
      <w:r>
        <w:t>f</w:t>
      </w:r>
      <w:r w:rsidRPr="00750351">
        <w:t>emale mosquitoes to fly and bite between humans and each other.</w:t>
      </w:r>
      <w:r>
        <w:t xml:space="preserve"> </w:t>
      </w:r>
      <w:r w:rsidRPr="00750351">
        <w:t xml:space="preserve">They live for an average of 8-15 days and can fly 30-50 meters per day, covering a distance of 240 – 600 m in their lifetime (Bohra and </w:t>
      </w:r>
      <w:proofErr w:type="spellStart"/>
      <w:r w:rsidRPr="00750351">
        <w:t>Andrianasolo</w:t>
      </w:r>
      <w:proofErr w:type="spellEnd"/>
      <w:r w:rsidRPr="00750351">
        <w:t xml:space="preserve"> 2001)</w:t>
      </w:r>
      <w:r>
        <w:t xml:space="preserve">. </w:t>
      </w:r>
      <w:r w:rsidRPr="00407A0A">
        <w:t>The Aedes aegypti mosquito lives in urban areas and primarily breeds in man-made containers.</w:t>
      </w:r>
    </w:p>
    <w:p w14:paraId="47DFCC67" w14:textId="1BE458C6" w:rsidR="005E17F2" w:rsidRPr="00407A0A" w:rsidRDefault="005E17F2" w:rsidP="003C13AD">
      <w:pPr>
        <w:ind w:firstLine="720"/>
        <w:jc w:val="both"/>
        <w:rPr>
          <w:rFonts w:cs="Calibri"/>
          <w:color w:val="000000"/>
          <w:lang w:val="en-ID" w:eastAsia="en-ID"/>
        </w:rPr>
      </w:pPr>
      <w:r w:rsidRPr="00407A0A">
        <w:t xml:space="preserve">The proximity of mosquito vector breeding sites to human habitation is a significant </w:t>
      </w:r>
      <w:r w:rsidRPr="007463C3">
        <w:t>vulnerability</w:t>
      </w:r>
      <w:r w:rsidRPr="00407A0A">
        <w:t xml:space="preserve"> factor for dengue and other diseases transmitted by the Aedes mosquito. At the moment, the primary method for controlling or preventing dengue virus transmission is to combat mosquito vectors</w:t>
      </w:r>
      <w:r>
        <w:t xml:space="preserve"> </w:t>
      </w:r>
      <w:r>
        <w:fldChar w:fldCharType="begin" w:fldLock="1"/>
      </w:r>
      <w:r w:rsidR="00B768AE">
        <w:instrText>ADDIN CSL_CITATION {"citationItems":[{"id":"ITEM-1","itemData":{"ISBN":"9789241565530","abstract":"The article reports on essential guidance and information provided by a manual for World Health Organization country representatives released in May 2018 entitled \"Managing epidemics\" on how to respond effectively and rapidly at the start of an outbreak.","author":[{"dropping-particle":"","family":"WHO","given":"","non-dropping-particle":"","parse-names":false,"suffix":""}],"id":"ITEM-1","issued":{"date-parts":[["2018"]]},"number-of-pages":"260","title":"Managing Epidemics, Key facts about major deadly diseases","type":"book"},"uris":["http://www.mendeley.com/documents/?uuid=8df89b3e-7cce-4cd8-9da3-9b919eb55f86"]}],"mendeley":{"formattedCitation":"[30]","plainTextFormattedCitation":"[30]","previouslyFormattedCitation":"[29]"},"properties":{"noteIndex":0},"schema":"https://github.com/citation-style-language/schema/raw/master/csl-citation.json"}</w:instrText>
      </w:r>
      <w:r>
        <w:fldChar w:fldCharType="separate"/>
      </w:r>
      <w:r w:rsidR="00B768AE" w:rsidRPr="00B768AE">
        <w:rPr>
          <w:noProof/>
        </w:rPr>
        <w:t>[30]</w:t>
      </w:r>
      <w:r>
        <w:fldChar w:fldCharType="end"/>
      </w:r>
      <w:r>
        <w:t xml:space="preserve">. </w:t>
      </w:r>
      <w:r w:rsidRPr="00407A0A">
        <w:t>Therefore, the variables related to the potential location for mosquitoes to breed are public facilities which of course have containers</w:t>
      </w:r>
      <w:r>
        <w:t xml:space="preserve"> (</w:t>
      </w:r>
      <w:proofErr w:type="gramStart"/>
      <w:r>
        <w:t>i.e.</w:t>
      </w:r>
      <w:proofErr w:type="gramEnd"/>
      <w:r>
        <w:t xml:space="preserve"> road, </w:t>
      </w:r>
      <w:r>
        <w:rPr>
          <w:rFonts w:cs="Calibri"/>
          <w:color w:val="000000"/>
          <w:lang w:val="en-ID" w:eastAsia="en-ID"/>
        </w:rPr>
        <w:t>e</w:t>
      </w:r>
      <w:r w:rsidRPr="00C97649">
        <w:rPr>
          <w:rFonts w:cs="Calibri"/>
          <w:color w:val="000000"/>
          <w:lang w:val="en-ID" w:eastAsia="en-ID"/>
        </w:rPr>
        <w:t xml:space="preserve">ducational </w:t>
      </w:r>
      <w:r>
        <w:rPr>
          <w:rFonts w:cs="Calibri"/>
          <w:color w:val="000000"/>
          <w:lang w:val="en-ID" w:eastAsia="en-ID"/>
        </w:rPr>
        <w:t>f</w:t>
      </w:r>
      <w:r w:rsidRPr="00C97649">
        <w:rPr>
          <w:rFonts w:cs="Calibri"/>
          <w:color w:val="000000"/>
          <w:lang w:val="en-ID" w:eastAsia="en-ID"/>
        </w:rPr>
        <w:t>acilities</w:t>
      </w:r>
      <w:r>
        <w:rPr>
          <w:rFonts w:cs="Calibri"/>
          <w:color w:val="000000"/>
          <w:lang w:val="en-ID" w:eastAsia="en-ID"/>
        </w:rPr>
        <w:t xml:space="preserve">, and office area). </w:t>
      </w:r>
      <w:r w:rsidRPr="00407A0A">
        <w:rPr>
          <w:rFonts w:cs="Calibri"/>
          <w:color w:val="000000"/>
          <w:lang w:val="en-ID" w:eastAsia="en-ID"/>
        </w:rPr>
        <w:t>The influence of population density variables, distance to highways, educational facilities radius, office area radius, and land use on the spread of dengue fever in two ways, namely</w:t>
      </w:r>
      <w:r>
        <w:rPr>
          <w:rFonts w:cs="Calibri"/>
          <w:color w:val="000000"/>
          <w:lang w:val="en-ID" w:eastAsia="en-ID"/>
        </w:rPr>
        <w:t xml:space="preserve"> p</w:t>
      </w:r>
      <w:r w:rsidRPr="00407A0A">
        <w:rPr>
          <w:rFonts w:cs="Calibri"/>
          <w:color w:val="000000"/>
          <w:lang w:val="en-ID" w:eastAsia="en-ID"/>
        </w:rPr>
        <w:t>revention of mosquito breeding</w:t>
      </w:r>
      <w:r>
        <w:rPr>
          <w:rFonts w:cs="Calibri"/>
          <w:color w:val="000000"/>
          <w:lang w:val="en-ID" w:eastAsia="en-ID"/>
        </w:rPr>
        <w:t xml:space="preserve"> (i.e. (1) u</w:t>
      </w:r>
      <w:r w:rsidRPr="00407A0A">
        <w:rPr>
          <w:rFonts w:cs="Calibri"/>
          <w:color w:val="000000"/>
          <w:lang w:val="en-ID" w:eastAsia="en-ID"/>
        </w:rPr>
        <w:t>sing environmental management and modification to prevent mosquitos from accessing egg-laying habitats;</w:t>
      </w:r>
      <w:r>
        <w:rPr>
          <w:rFonts w:cs="Calibri"/>
          <w:color w:val="000000"/>
          <w:lang w:val="en-ID" w:eastAsia="en-ID"/>
        </w:rPr>
        <w:t xml:space="preserve"> (2) </w:t>
      </w:r>
      <w:r w:rsidRPr="00407A0A">
        <w:rPr>
          <w:rFonts w:cs="Calibri"/>
          <w:color w:val="000000"/>
          <w:lang w:val="en-ID" w:eastAsia="en-ID"/>
        </w:rPr>
        <w:t>removing artificial man-made habitats that can hold water and properly disposing of solid waste</w:t>
      </w:r>
      <w:r>
        <w:rPr>
          <w:rFonts w:cs="Calibri"/>
          <w:color w:val="000000"/>
          <w:lang w:val="en-ID" w:eastAsia="en-ID"/>
        </w:rPr>
        <w:t>; (3) w</w:t>
      </w:r>
      <w:r w:rsidRPr="00407A0A">
        <w:rPr>
          <w:rFonts w:cs="Calibri"/>
          <w:color w:val="000000"/>
          <w:lang w:val="en-ID" w:eastAsia="en-ID"/>
        </w:rPr>
        <w:t>eekly covering, emptying, and cleaning of domestic water storage containers;</w:t>
      </w:r>
      <w:r>
        <w:rPr>
          <w:rFonts w:cs="Calibri"/>
          <w:color w:val="000000"/>
          <w:lang w:val="en-ID" w:eastAsia="en-ID"/>
        </w:rPr>
        <w:t xml:space="preserve"> (4) a</w:t>
      </w:r>
      <w:r w:rsidRPr="00407A0A">
        <w:rPr>
          <w:rFonts w:cs="Calibri"/>
          <w:color w:val="000000"/>
          <w:lang w:val="en-ID" w:eastAsia="en-ID"/>
        </w:rPr>
        <w:t>pplying appropriate insecticides to outdoor water storage containers</w:t>
      </w:r>
      <w:r>
        <w:rPr>
          <w:rFonts w:cs="Calibri"/>
          <w:color w:val="000000"/>
          <w:lang w:val="en-ID" w:eastAsia="en-ID"/>
        </w:rPr>
        <w:t>) and p</w:t>
      </w:r>
      <w:r w:rsidRPr="00407A0A">
        <w:rPr>
          <w:rFonts w:cs="Calibri"/>
          <w:color w:val="000000"/>
          <w:lang w:val="en-ID" w:eastAsia="en-ID"/>
        </w:rPr>
        <w:t>ersonal protection from mosquito bite</w:t>
      </w:r>
      <w:r>
        <w:rPr>
          <w:rFonts w:cs="Calibri"/>
          <w:color w:val="000000"/>
          <w:lang w:val="en-ID" w:eastAsia="en-ID"/>
        </w:rPr>
        <w:t xml:space="preserve"> (i.e. (1) p</w:t>
      </w:r>
      <w:r w:rsidRPr="00407A0A">
        <w:rPr>
          <w:rFonts w:cs="Calibri"/>
          <w:color w:val="000000"/>
          <w:lang w:val="en-ID" w:eastAsia="en-ID"/>
        </w:rPr>
        <w:t>ersonal household protection measures, such as window screens, repellents, insecticide-treated materials, coils, and vaporizers, are used. Because the primary mosquito vectors bite throughout the day, these precautions must be taken both inside and outside the home (e.g., at work/school)</w:t>
      </w:r>
      <w:r>
        <w:rPr>
          <w:rFonts w:cs="Calibri"/>
          <w:color w:val="000000"/>
          <w:lang w:val="en-ID" w:eastAsia="en-ID"/>
        </w:rPr>
        <w:t xml:space="preserve">; (2) </w:t>
      </w:r>
      <w:r w:rsidRPr="00407A0A">
        <w:rPr>
          <w:rFonts w:cs="Calibri"/>
          <w:color w:val="000000"/>
          <w:lang w:val="en-ID" w:eastAsia="en-ID"/>
        </w:rPr>
        <w:t>It is recommended that you wear clothing that reduces your skin's exposure to mosquitoes</w:t>
      </w:r>
      <w:r>
        <w:rPr>
          <w:rFonts w:cs="Calibri"/>
          <w:color w:val="000000"/>
          <w:lang w:val="en-ID" w:eastAsia="en-ID"/>
        </w:rPr>
        <w:t xml:space="preserve"> </w:t>
      </w:r>
      <w:r>
        <w:fldChar w:fldCharType="begin" w:fldLock="1"/>
      </w:r>
      <w:r w:rsidR="00B768AE">
        <w:instrText>ADDIN CSL_CITATION {"citationItems":[{"id":"ITEM-1","itemData":{"ISBN":"9789241565530","abstract":"The article reports on essential guidance and information provided by a manual for World Health Organization country representatives released in May 2018 entitled \"Managing epidemics\" on how to respond effectively and rapidly at the start of an outbreak.","author":[{"dropping-particle":"","family":"WHO","given":"","non-dropping-particle":"","parse-names":false,"suffix":""}],"id":"ITEM-1","issued":{"date-parts":[["2018"]]},"number-of-pages":"260","title":"Managing Epidemics, Key facts about major deadly diseases","type":"book"},"uris":["http://www.mendeley.com/documents/?uuid=8df89b3e-7cce-4cd8-9da3-9b919eb55f86"]}],"mendeley":{"formattedCitation":"[30]","plainTextFormattedCitation":"[30]","previouslyFormattedCitation":"[29]"},"properties":{"noteIndex":0},"schema":"https://github.com/citation-style-language/schema/raw/master/csl-citation.json"}</w:instrText>
      </w:r>
      <w:r>
        <w:fldChar w:fldCharType="separate"/>
      </w:r>
      <w:r w:rsidR="00B768AE" w:rsidRPr="00B768AE">
        <w:rPr>
          <w:noProof/>
        </w:rPr>
        <w:t>[30]</w:t>
      </w:r>
      <w:r>
        <w:fldChar w:fldCharType="end"/>
      </w:r>
      <w:r>
        <w:rPr>
          <w:rFonts w:cs="Calibri"/>
          <w:color w:val="000000"/>
          <w:lang w:val="en-ID" w:eastAsia="en-ID"/>
        </w:rPr>
        <w:t xml:space="preserve">. </w:t>
      </w:r>
    </w:p>
    <w:p w14:paraId="02447523" w14:textId="061310F0" w:rsidR="005E17F2" w:rsidRPr="003C13AD" w:rsidRDefault="005E17F2" w:rsidP="003C13AD">
      <w:pPr>
        <w:ind w:firstLine="720"/>
        <w:jc w:val="both"/>
      </w:pPr>
      <w:r w:rsidRPr="00FD0FFC">
        <w:rPr>
          <w:rFonts w:cs="Calibri"/>
          <w:color w:val="000000"/>
          <w:lang w:val="en-ID" w:eastAsia="en-ID"/>
        </w:rPr>
        <w:t>The factor of distant health facilities has a considerable influence on this study, which is 24%. This factor can be overcome in three ways, namely</w:t>
      </w:r>
      <w:r>
        <w:rPr>
          <w:rFonts w:cs="Calibri"/>
          <w:color w:val="000000"/>
          <w:lang w:val="en-ID" w:eastAsia="en-ID"/>
        </w:rPr>
        <w:t xml:space="preserve"> c</w:t>
      </w:r>
      <w:r w:rsidRPr="00FD0FFC">
        <w:rPr>
          <w:rFonts w:cs="Calibri"/>
          <w:color w:val="000000"/>
          <w:lang w:val="en-ID" w:eastAsia="en-ID"/>
        </w:rPr>
        <w:t>ommunity engagement</w:t>
      </w:r>
      <w:r>
        <w:rPr>
          <w:rFonts w:cs="Calibri"/>
          <w:color w:val="000000"/>
          <w:lang w:val="en-ID" w:eastAsia="en-ID"/>
        </w:rPr>
        <w:t xml:space="preserve"> (i.e. (1) e</w:t>
      </w:r>
      <w:r w:rsidRPr="00FD0FFC">
        <w:rPr>
          <w:rFonts w:cs="Calibri"/>
          <w:color w:val="000000"/>
          <w:lang w:val="en-ID" w:eastAsia="en-ID"/>
        </w:rPr>
        <w:t>ducating the public about the dangers of mosquito-borne diseases;</w:t>
      </w:r>
      <w:r>
        <w:rPr>
          <w:rFonts w:cs="Calibri"/>
          <w:color w:val="000000"/>
          <w:lang w:val="en-ID" w:eastAsia="en-ID"/>
        </w:rPr>
        <w:t xml:space="preserve"> (2) e</w:t>
      </w:r>
      <w:r w:rsidRPr="00FD0FFC">
        <w:rPr>
          <w:rFonts w:cs="Calibri"/>
          <w:color w:val="000000"/>
          <w:lang w:val="en-ID" w:eastAsia="en-ID"/>
        </w:rPr>
        <w:t>ngaging the community in order to increase participation and mobilization for long-term vector control</w:t>
      </w:r>
      <w:r>
        <w:rPr>
          <w:rFonts w:cs="Calibri"/>
          <w:color w:val="000000"/>
          <w:lang w:val="en-ID" w:eastAsia="en-ID"/>
        </w:rPr>
        <w:t>); r</w:t>
      </w:r>
      <w:r w:rsidRPr="00FD0FFC">
        <w:rPr>
          <w:rFonts w:cs="Calibri"/>
          <w:color w:val="000000"/>
          <w:lang w:val="en-ID" w:eastAsia="en-ID"/>
        </w:rPr>
        <w:t>eactive vector control</w:t>
      </w:r>
      <w:r>
        <w:rPr>
          <w:rFonts w:cs="Calibri"/>
          <w:color w:val="000000"/>
          <w:lang w:val="en-ID" w:eastAsia="en-ID"/>
        </w:rPr>
        <w:t xml:space="preserve"> (i.e. h</w:t>
      </w:r>
      <w:r w:rsidRPr="00FD0FFC">
        <w:rPr>
          <w:rFonts w:cs="Calibri"/>
          <w:color w:val="000000"/>
          <w:lang w:val="en-ID" w:eastAsia="en-ID"/>
        </w:rPr>
        <w:t>ealth authorities may use emergency vector control measures such as space spraying insecticides during outbreaks</w:t>
      </w:r>
      <w:r>
        <w:rPr>
          <w:rFonts w:cs="Calibri"/>
          <w:color w:val="000000"/>
          <w:lang w:val="en-ID" w:eastAsia="en-ID"/>
        </w:rPr>
        <w:t>); and a</w:t>
      </w:r>
      <w:r w:rsidRPr="00FD0FFC">
        <w:rPr>
          <w:rFonts w:cs="Calibri"/>
          <w:color w:val="000000"/>
          <w:lang w:val="en-ID" w:eastAsia="en-ID"/>
        </w:rPr>
        <w:t>ctive mosquito and virus surveillance</w:t>
      </w:r>
      <w:r>
        <w:rPr>
          <w:rFonts w:cs="Calibri"/>
          <w:color w:val="000000"/>
          <w:lang w:val="en-ID" w:eastAsia="en-ID"/>
        </w:rPr>
        <w:t xml:space="preserve"> (i.e. (1) t</w:t>
      </w:r>
      <w:r w:rsidRPr="00FD0FFC">
        <w:rPr>
          <w:rFonts w:cs="Calibri"/>
          <w:color w:val="000000"/>
          <w:lang w:val="en-ID" w:eastAsia="en-ID"/>
        </w:rPr>
        <w:t>o determine the effectiveness of control interventions, active monitoring and surveillance of vector abundance and species composition should be carried out</w:t>
      </w:r>
      <w:r>
        <w:rPr>
          <w:rFonts w:cs="Calibri"/>
          <w:color w:val="000000"/>
          <w:lang w:val="en-ID" w:eastAsia="en-ID"/>
        </w:rPr>
        <w:t>; (2) a</w:t>
      </w:r>
      <w:r w:rsidRPr="00FD0FFC">
        <w:rPr>
          <w:rFonts w:cs="Calibri"/>
          <w:color w:val="000000"/>
          <w:lang w:val="en-ID" w:eastAsia="en-ID"/>
        </w:rPr>
        <w:t>ctive screening of sentinel mosquito collections will be used to track the prevalence of virus in the mosquito population in the future</w:t>
      </w:r>
      <w:r>
        <w:rPr>
          <w:rFonts w:cs="Calibri"/>
          <w:color w:val="000000"/>
          <w:lang w:val="en-ID" w:eastAsia="en-ID"/>
        </w:rPr>
        <w:t xml:space="preserve">) </w:t>
      </w:r>
      <w:r>
        <w:fldChar w:fldCharType="begin" w:fldLock="1"/>
      </w:r>
      <w:r w:rsidR="00B768AE">
        <w:instrText>ADDIN CSL_CITATION {"citationItems":[{"id":"ITEM-1","itemData":{"ISBN":"9789241565530","abstract":"The article reports on essential guidance and information provided by a manual for World Health Organization country representatives released in May 2018 entitled \"Managing epidemics\" on how to respond effectively and rapidly at the start of an outbreak.","author":[{"dropping-particle":"","family":"WHO","given":"","non-dropping-particle":"","parse-names":false,"suffix":""}],"id":"ITEM-1","issued":{"date-parts":[["2018"]]},"number-of-pages":"260","title":"Managing Epidemics, Key facts about major deadly diseases","type":"book"},"uris":["http://www.mendeley.com/documents/?uuid=8df89b3e-7cce-4cd8-9da3-9b919eb55f86"]}],"mendeley":{"formattedCitation":"[30]","plainTextFormattedCitation":"[30]","previouslyFormattedCitation":"[29]"},"properties":{"noteIndex":0},"schema":"https://github.com/citation-style-language/schema/raw/master/csl-citation.json"}</w:instrText>
      </w:r>
      <w:r>
        <w:fldChar w:fldCharType="separate"/>
      </w:r>
      <w:r w:rsidR="00B768AE" w:rsidRPr="00B768AE">
        <w:rPr>
          <w:noProof/>
        </w:rPr>
        <w:t>[30]</w:t>
      </w:r>
      <w:r>
        <w:fldChar w:fldCharType="end"/>
      </w:r>
      <w:r>
        <w:t>.</w:t>
      </w:r>
      <w:r w:rsidR="003C13AD">
        <w:t xml:space="preserve"> </w:t>
      </w:r>
      <w:r w:rsidRPr="001B5FC7">
        <w:rPr>
          <w:rFonts w:cs="Calibri"/>
          <w:color w:val="000000"/>
          <w:lang w:val="en-ID" w:eastAsia="en-ID"/>
        </w:rPr>
        <w:t xml:space="preserve">Because of advances in geographic information systems (GIS) technology, the ability to accurately predict local and regional DF outbreaks has rapidly improved. This has led to a better understanding of the interaction between the spatial and temporal distributions of DF, as well as increased research interest in epidemic prediction </w:t>
      </w:r>
      <w:proofErr w:type="spellStart"/>
      <w:r w:rsidRPr="001B5FC7">
        <w:rPr>
          <w:rFonts w:cs="Calibri"/>
          <w:color w:val="000000"/>
          <w:lang w:val="en-ID" w:eastAsia="en-ID"/>
        </w:rPr>
        <w:t>modeling</w:t>
      </w:r>
      <w:proofErr w:type="spellEnd"/>
      <w:r w:rsidRPr="001B5FC7">
        <w:rPr>
          <w:rFonts w:cs="Calibri"/>
          <w:color w:val="000000"/>
          <w:lang w:val="en-ID" w:eastAsia="en-ID"/>
        </w:rPr>
        <w:t>.</w:t>
      </w:r>
    </w:p>
    <w:p w14:paraId="49993A39" w14:textId="7525E930" w:rsidR="005E17F2" w:rsidRDefault="005E17F2" w:rsidP="005E17F2">
      <w:pPr>
        <w:jc w:val="both"/>
        <w:rPr>
          <w:rFonts w:cs="Calibri"/>
          <w:color w:val="000000"/>
          <w:lang w:val="en-ID" w:eastAsia="en-ID"/>
        </w:rPr>
      </w:pPr>
    </w:p>
    <w:p w14:paraId="4A6FD3F1" w14:textId="3F22A7FB" w:rsidR="00C321E6" w:rsidRDefault="00C321E6" w:rsidP="005E17F2">
      <w:pPr>
        <w:jc w:val="both"/>
        <w:rPr>
          <w:rFonts w:cs="Calibri"/>
          <w:color w:val="000000"/>
          <w:lang w:val="en-ID" w:eastAsia="en-ID"/>
        </w:rPr>
      </w:pPr>
    </w:p>
    <w:p w14:paraId="2F932373" w14:textId="77777777" w:rsidR="00C321E6" w:rsidRPr="00407A0A" w:rsidRDefault="00C321E6" w:rsidP="005E17F2">
      <w:pPr>
        <w:jc w:val="both"/>
        <w:rPr>
          <w:rFonts w:cs="Calibri"/>
          <w:color w:val="000000"/>
          <w:lang w:val="en-ID" w:eastAsia="en-ID"/>
        </w:rPr>
      </w:pPr>
    </w:p>
    <w:p w14:paraId="174E7418" w14:textId="77777777" w:rsidR="005E17F2" w:rsidRPr="00553675" w:rsidRDefault="005E17F2" w:rsidP="005E17F2">
      <w:pPr>
        <w:jc w:val="both"/>
        <w:rPr>
          <w:rFonts w:cs="Calibri"/>
          <w:b/>
          <w:bCs/>
          <w:color w:val="000000"/>
          <w:lang w:val="en-ID" w:eastAsia="en-ID"/>
        </w:rPr>
      </w:pPr>
      <w:r w:rsidRPr="00553675">
        <w:rPr>
          <w:rFonts w:cs="Calibri"/>
          <w:b/>
          <w:bCs/>
          <w:color w:val="000000"/>
          <w:lang w:val="en-ID" w:eastAsia="en-ID"/>
        </w:rPr>
        <w:lastRenderedPageBreak/>
        <w:t>Ethics Approval</w:t>
      </w:r>
    </w:p>
    <w:p w14:paraId="19FE1EE0" w14:textId="2749BEBE" w:rsidR="000F279B" w:rsidRPr="003D5B84" w:rsidRDefault="00C321E6" w:rsidP="000F279B">
      <w:pPr>
        <w:ind w:firstLine="720"/>
        <w:jc w:val="both"/>
        <w:rPr>
          <w:bCs/>
          <w:lang w:val="id-ID"/>
        </w:rPr>
      </w:pPr>
      <w:r w:rsidRPr="00C321E6">
        <w:rPr>
          <w:rFonts w:cs="Calibri"/>
          <w:color w:val="000000"/>
          <w:lang w:val="en-ID" w:eastAsia="en-ID"/>
        </w:rPr>
        <w:t xml:space="preserve">This research does not involve humans in its research, but this research has an ethical license issued by the </w:t>
      </w:r>
      <w:proofErr w:type="spellStart"/>
      <w:r w:rsidRPr="00C321E6">
        <w:rPr>
          <w:rFonts w:cs="Calibri"/>
          <w:color w:val="000000"/>
          <w:lang w:val="en-ID" w:eastAsia="en-ID"/>
        </w:rPr>
        <w:t>Kadiri</w:t>
      </w:r>
      <w:proofErr w:type="spellEnd"/>
      <w:r w:rsidRPr="00C321E6">
        <w:rPr>
          <w:rFonts w:cs="Calibri"/>
          <w:color w:val="000000"/>
          <w:lang w:val="en-ID" w:eastAsia="en-ID"/>
        </w:rPr>
        <w:t xml:space="preserve"> University Research Institute with Registration Number 004/25/V/EC/KEP/UNIK/202</w:t>
      </w:r>
      <w:r>
        <w:rPr>
          <w:rFonts w:cs="Calibri"/>
          <w:color w:val="000000"/>
          <w:lang w:val="en-ID" w:eastAsia="en-ID"/>
        </w:rPr>
        <w:t>1.</w:t>
      </w:r>
    </w:p>
    <w:p w14:paraId="44F342D4" w14:textId="77777777" w:rsidR="002622CD" w:rsidRPr="003D5B84" w:rsidRDefault="002622CD" w:rsidP="00904D6D">
      <w:pPr>
        <w:rPr>
          <w:b/>
          <w:bCs/>
          <w:lang w:val="id-ID"/>
        </w:rPr>
      </w:pPr>
    </w:p>
    <w:p w14:paraId="4357957C" w14:textId="6AEE5DF2"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14:paraId="120E810E" w14:textId="125B518E" w:rsidR="007027BB" w:rsidRPr="003D5B84" w:rsidRDefault="005E17F2" w:rsidP="00904D6D">
      <w:pPr>
        <w:ind w:firstLine="720"/>
        <w:jc w:val="both"/>
        <w:rPr>
          <w:lang w:val="id-ID"/>
        </w:rPr>
      </w:pPr>
      <w:r w:rsidRPr="005E17F2">
        <w:rPr>
          <w:lang w:val="id-ID"/>
        </w:rPr>
        <w:t>The spatial relationship between cases and disease can be displayed and modeled using GIS-AHP and spatial temporal modeling techniques. Because of the powerful application of GIS technology to visualise the temporal and spatial distributions based on ecological determinants, spatial temporal modeling can help us understand the distribution of dengue outbreaks in space and time. AHP assists the decision maker in making the correct decision by indicating the importance of the decision, and inconsistency will appear if the decision is incorrect. The GIS-AHP used in this study demonstrates that all selected decision criteria with varying weights satisfy the Consistency Ratio and are thus considered acceptable and consistent for dengue vulnerability mapping in Gorontalo Regency. There are no medically prescribed treatments for dengue. The only treatment is to locate an appropriate breeding site i.e. vectors and its destruction. As a result, the current study focuses on some of the closely related environmental factors that are responsible for DF outbreaks, as well as GIS-based spatial analysis for vulnerability zonation. Gorontalo Regency dominated low class vulnerability, according to the results. Similarly to the current study, the GIS-AHP process could be used to assess transmissible disease vulnerability zonation, which aids in improving surveillance stratagems for DF and other vector-borne diseases to encourage prevention and control actions.</w:t>
      </w:r>
    </w:p>
    <w:p w14:paraId="426536C1" w14:textId="77777777" w:rsidR="0088233C" w:rsidRDefault="0088233C" w:rsidP="00904D6D">
      <w:pPr>
        <w:rPr>
          <w:b/>
          <w:bCs/>
        </w:rPr>
      </w:pPr>
    </w:p>
    <w:p w14:paraId="3FF25AE3" w14:textId="77777777" w:rsidR="007E6842" w:rsidRDefault="007E6842" w:rsidP="00904D6D">
      <w:pPr>
        <w:rPr>
          <w:b/>
          <w:bCs/>
        </w:rPr>
      </w:pPr>
    </w:p>
    <w:p w14:paraId="4F9588F6" w14:textId="47C7A867" w:rsidR="00EE7C89" w:rsidRPr="00EE7C89" w:rsidRDefault="00F33C08" w:rsidP="00904D6D">
      <w:pPr>
        <w:rPr>
          <w:rStyle w:val="apple-style-span"/>
          <w:b/>
          <w:color w:val="000000"/>
          <w:lang w:val="pt-BR"/>
        </w:rPr>
      </w:pPr>
      <w:r w:rsidRPr="00EE7C89">
        <w:rPr>
          <w:rStyle w:val="apple-style-span"/>
          <w:b/>
          <w:color w:val="000000"/>
          <w:lang w:val="pt-BR"/>
        </w:rPr>
        <w:t>ACKNOWLEDGEMENTS</w:t>
      </w:r>
    </w:p>
    <w:p w14:paraId="3709E6D5" w14:textId="5D1C8F24" w:rsidR="00EA127F" w:rsidRDefault="005E17F2" w:rsidP="003C13AD">
      <w:pPr>
        <w:ind w:firstLine="720"/>
        <w:jc w:val="both"/>
        <w:rPr>
          <w:b/>
          <w:bCs/>
        </w:rPr>
      </w:pPr>
      <w:r w:rsidRPr="005E17F2">
        <w:t>The authors would like to thank all of the organizations mentioned in the paper for providing the necessary data for the study, as well as the Ministry of Research and Higher Education of the Republic of Indonesia for providing financial support in the form of research funding.</w:t>
      </w:r>
    </w:p>
    <w:p w14:paraId="11E94941" w14:textId="77777777" w:rsidR="007E6842" w:rsidRPr="00EE7C89" w:rsidRDefault="007E6842" w:rsidP="003C13AD">
      <w:pPr>
        <w:jc w:val="both"/>
        <w:rPr>
          <w:b/>
          <w:bCs/>
        </w:rPr>
      </w:pPr>
    </w:p>
    <w:p w14:paraId="3DAC0E37" w14:textId="319B1015" w:rsidR="00C35B8F" w:rsidRPr="003D5B84" w:rsidRDefault="00F33C08" w:rsidP="00C35B8F">
      <w:pPr>
        <w:rPr>
          <w:color w:val="000000"/>
          <w:lang w:val="pt-BR"/>
        </w:rPr>
      </w:pPr>
      <w:r w:rsidRPr="003D5B84">
        <w:rPr>
          <w:rStyle w:val="apple-style-span"/>
          <w:b/>
          <w:color w:val="000000"/>
          <w:lang w:val="pt-BR"/>
        </w:rPr>
        <w:t>REFERENCES</w:t>
      </w:r>
    </w:p>
    <w:p w14:paraId="4ED9EDED" w14:textId="7CD1FD53" w:rsidR="00B768AE" w:rsidRPr="00B768AE" w:rsidRDefault="005E17F2" w:rsidP="00D57F12">
      <w:pPr>
        <w:widowControl w:val="0"/>
        <w:autoSpaceDE w:val="0"/>
        <w:autoSpaceDN w:val="0"/>
        <w:adjustRightInd w:val="0"/>
        <w:ind w:left="640" w:hanging="640"/>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B768AE" w:rsidRPr="00B768AE">
        <w:rPr>
          <w:noProof/>
          <w:sz w:val="18"/>
          <w:szCs w:val="24"/>
        </w:rPr>
        <w:t>[1]</w:t>
      </w:r>
      <w:r w:rsidR="00B768AE" w:rsidRPr="00B768AE">
        <w:rPr>
          <w:noProof/>
          <w:sz w:val="18"/>
          <w:szCs w:val="24"/>
        </w:rPr>
        <w:tab/>
        <w:t xml:space="preserve">J. J. Waggoner </w:t>
      </w:r>
      <w:r w:rsidR="00B768AE" w:rsidRPr="00B768AE">
        <w:rPr>
          <w:i/>
          <w:iCs/>
          <w:noProof/>
          <w:sz w:val="18"/>
          <w:szCs w:val="24"/>
        </w:rPr>
        <w:t>et al.</w:t>
      </w:r>
      <w:r w:rsidR="00B768AE" w:rsidRPr="00B768AE">
        <w:rPr>
          <w:noProof/>
          <w:sz w:val="18"/>
          <w:szCs w:val="24"/>
        </w:rPr>
        <w:t xml:space="preserve">, “Viremia and Clinical Presentation in Nicaraguan Patients Infected With Zika Virus, Chikungunya Virus, and Dengue Virus,” </w:t>
      </w:r>
      <w:r w:rsidR="00B768AE" w:rsidRPr="00B768AE">
        <w:rPr>
          <w:i/>
          <w:iCs/>
          <w:noProof/>
          <w:sz w:val="18"/>
          <w:szCs w:val="24"/>
        </w:rPr>
        <w:t>Clin. Infect. Dis.</w:t>
      </w:r>
      <w:r w:rsidR="00B768AE" w:rsidRPr="00B768AE">
        <w:rPr>
          <w:noProof/>
          <w:sz w:val="18"/>
          <w:szCs w:val="24"/>
        </w:rPr>
        <w:t>, vol. 63, no. 12, pp. 1584–1590, 2016, doi: 10.1093/cid/ciw589.</w:t>
      </w:r>
    </w:p>
    <w:p w14:paraId="1989767D"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w:t>
      </w:r>
      <w:r w:rsidRPr="00B768AE">
        <w:rPr>
          <w:noProof/>
          <w:sz w:val="18"/>
          <w:szCs w:val="24"/>
        </w:rPr>
        <w:tab/>
        <w:t xml:space="preserve">S. Bhatt </w:t>
      </w:r>
      <w:r w:rsidRPr="00B768AE">
        <w:rPr>
          <w:i/>
          <w:iCs/>
          <w:noProof/>
          <w:sz w:val="18"/>
          <w:szCs w:val="24"/>
        </w:rPr>
        <w:t>et al.</w:t>
      </w:r>
      <w:r w:rsidRPr="00B768AE">
        <w:rPr>
          <w:noProof/>
          <w:sz w:val="18"/>
          <w:szCs w:val="24"/>
        </w:rPr>
        <w:t xml:space="preserve">, “The global distribution and burden of dengue,” </w:t>
      </w:r>
      <w:r w:rsidRPr="00B768AE">
        <w:rPr>
          <w:i/>
          <w:iCs/>
          <w:noProof/>
          <w:sz w:val="18"/>
          <w:szCs w:val="24"/>
        </w:rPr>
        <w:t>Nature</w:t>
      </w:r>
      <w:r w:rsidRPr="00B768AE">
        <w:rPr>
          <w:noProof/>
          <w:sz w:val="18"/>
          <w:szCs w:val="24"/>
        </w:rPr>
        <w:t>, vol. 496, no. 7446, pp. 504–507, 2013, doi: 10.1038/nature12060.</w:t>
      </w:r>
    </w:p>
    <w:p w14:paraId="499367A3"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[3]</w:t>
      </w:r>
      <w:r w:rsidRPr="00B768AE">
        <w:rPr>
          <w:noProof/>
          <w:sz w:val="18"/>
          <w:szCs w:val="24"/>
        </w:rPr>
        <w:tab/>
        <w:t xml:space="preserve">O. J. Brady </w:t>
      </w:r>
      <w:r w:rsidRPr="00B768AE">
        <w:rPr>
          <w:i/>
          <w:iCs/>
          <w:noProof/>
          <w:sz w:val="18"/>
          <w:szCs w:val="24"/>
        </w:rPr>
        <w:t>et al.</w:t>
      </w:r>
      <w:r w:rsidRPr="00B768AE">
        <w:rPr>
          <w:noProof/>
          <w:sz w:val="18"/>
          <w:szCs w:val="24"/>
        </w:rPr>
        <w:t xml:space="preserve">, “Refining the Global Spatial Limits of Dengue Virus Transmission by Evidence-Based Consensus,” </w:t>
      </w:r>
      <w:r w:rsidRPr="00B768AE">
        <w:rPr>
          <w:i/>
          <w:iCs/>
          <w:noProof/>
          <w:sz w:val="18"/>
          <w:szCs w:val="24"/>
        </w:rPr>
        <w:t>PLoS Negl. Trop. Dis.</w:t>
      </w:r>
      <w:r w:rsidRPr="00B768AE">
        <w:rPr>
          <w:noProof/>
          <w:sz w:val="18"/>
          <w:szCs w:val="24"/>
        </w:rPr>
        <w:t>, vol. 6, no. 8, pp. 1–15, 2012, doi: 10.1371/journal.pntd.0001760.</w:t>
      </w:r>
    </w:p>
    <w:p w14:paraId="36FBA3F8"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[4]</w:t>
      </w:r>
      <w:r w:rsidRPr="00B768AE">
        <w:rPr>
          <w:noProof/>
          <w:sz w:val="18"/>
          <w:szCs w:val="24"/>
        </w:rPr>
        <w:tab/>
        <w:t xml:space="preserve">A. Murad, “Using GIS for determining variations in health access in jeddah city, Saudi Arabia,” </w:t>
      </w:r>
      <w:r w:rsidRPr="00B768AE">
        <w:rPr>
          <w:i/>
          <w:iCs/>
          <w:noProof/>
          <w:sz w:val="18"/>
          <w:szCs w:val="24"/>
        </w:rPr>
        <w:t>nternational J. Geo-Information</w:t>
      </w:r>
      <w:r w:rsidRPr="00B768AE">
        <w:rPr>
          <w:noProof/>
          <w:sz w:val="18"/>
          <w:szCs w:val="24"/>
        </w:rPr>
        <w:t>, vol. 7, no. 7, 2018, doi: 10.3390/ijgi7070254.</w:t>
      </w:r>
    </w:p>
    <w:p w14:paraId="6ECE2D12"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[5]</w:t>
      </w:r>
      <w:r w:rsidRPr="00B768AE">
        <w:rPr>
          <w:noProof/>
          <w:sz w:val="18"/>
          <w:szCs w:val="24"/>
        </w:rPr>
        <w:tab/>
        <w:t xml:space="preserve">J. Y. Kim, S. J. Eun, and D. K. Park, “Malaria Vulnerability Map Mobile System Development Using GIS-Based Decision-Making Technique,” </w:t>
      </w:r>
      <w:r w:rsidRPr="00B768AE">
        <w:rPr>
          <w:i/>
          <w:iCs/>
          <w:noProof/>
          <w:sz w:val="18"/>
          <w:szCs w:val="24"/>
        </w:rPr>
        <w:t>Mob. Inf. Syst.</w:t>
      </w:r>
      <w:r w:rsidRPr="00B768AE">
        <w:rPr>
          <w:noProof/>
          <w:sz w:val="18"/>
          <w:szCs w:val="24"/>
        </w:rPr>
        <w:t>, pp. 1–10, 2018, doi: 10.1155/2018/8436210.</w:t>
      </w:r>
    </w:p>
    <w:p w14:paraId="76A3EC6B"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[6]</w:t>
      </w:r>
      <w:r w:rsidRPr="00B768AE">
        <w:rPr>
          <w:noProof/>
          <w:sz w:val="18"/>
          <w:szCs w:val="24"/>
        </w:rPr>
        <w:tab/>
        <w:t xml:space="preserve">F. P. Ivan, B. M. Napoletano, F. Rosete-Verges, and L. Billa, “Spatial analysis and GIS in the study of COVID-19. A review,” </w:t>
      </w:r>
      <w:r w:rsidRPr="00B768AE">
        <w:rPr>
          <w:i/>
          <w:iCs/>
          <w:noProof/>
          <w:sz w:val="18"/>
          <w:szCs w:val="24"/>
        </w:rPr>
        <w:t>Sci. Total Environ.</w:t>
      </w:r>
      <w:r w:rsidRPr="00B768AE">
        <w:rPr>
          <w:noProof/>
          <w:sz w:val="18"/>
          <w:szCs w:val="24"/>
        </w:rPr>
        <w:t>, vol. 739, pp. 1–10, 2020, doi: 10.1016/j.scitotenv.2020.140033.</w:t>
      </w:r>
    </w:p>
    <w:p w14:paraId="09B1BFD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[7]</w:t>
      </w:r>
      <w:r w:rsidRPr="00B768AE">
        <w:rPr>
          <w:noProof/>
          <w:sz w:val="18"/>
          <w:szCs w:val="24"/>
        </w:rPr>
        <w:tab/>
        <w:t xml:space="preserve">S. A. Ali and A. Ahmad, “Using analytic hierarchy process with GIS for Dengue risk mapping in Kolkata Municipal Corporation, West Bengal, India,” </w:t>
      </w:r>
      <w:r w:rsidRPr="00B768AE">
        <w:rPr>
          <w:i/>
          <w:iCs/>
          <w:noProof/>
          <w:sz w:val="18"/>
          <w:szCs w:val="24"/>
        </w:rPr>
        <w:t>Spat. Inf. Res.</w:t>
      </w:r>
      <w:r w:rsidRPr="00B768AE">
        <w:rPr>
          <w:noProof/>
          <w:sz w:val="18"/>
          <w:szCs w:val="24"/>
        </w:rPr>
        <w:t>, vol. 26, no. 4, pp. 449–469, 2018, doi: 10.1007/s41324-018-0187-x.</w:t>
      </w:r>
    </w:p>
    <w:p w14:paraId="031904B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[8]</w:t>
      </w:r>
      <w:r w:rsidRPr="00B768AE">
        <w:rPr>
          <w:noProof/>
          <w:sz w:val="18"/>
          <w:szCs w:val="24"/>
        </w:rPr>
        <w:tab/>
        <w:t xml:space="preserve">R. Zannah, S. Sulistyawati, and I. F. Dewi, “Measuring the dengue risk area using Geographic Information System: a review,” </w:t>
      </w:r>
      <w:r w:rsidRPr="00B768AE">
        <w:rPr>
          <w:i/>
          <w:iCs/>
          <w:noProof/>
          <w:sz w:val="18"/>
          <w:szCs w:val="24"/>
        </w:rPr>
        <w:t>Insights Public Heal. J.</w:t>
      </w:r>
      <w:r w:rsidRPr="00B768AE">
        <w:rPr>
          <w:noProof/>
          <w:sz w:val="18"/>
          <w:szCs w:val="24"/>
        </w:rPr>
        <w:t>, vol. 1, no. 1, p. 36, 2020, doi: 10.20884/1.iphj.2020.1.1.3012.</w:t>
      </w:r>
    </w:p>
    <w:p w14:paraId="71D63B50"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[9]</w:t>
      </w:r>
      <w:r w:rsidRPr="00B768AE">
        <w:rPr>
          <w:noProof/>
          <w:sz w:val="18"/>
          <w:szCs w:val="24"/>
        </w:rPr>
        <w:tab/>
        <w:t xml:space="preserve">R. Pakaya, “Spatial Analysis and Environmental Factors Associated Against Case of Dengue Hemorrhagic Fever ( Dhf ) in Limboto District , Gorontalo,” in </w:t>
      </w:r>
      <w:r w:rsidRPr="00B768AE">
        <w:rPr>
          <w:i/>
          <w:iCs/>
          <w:noProof/>
          <w:sz w:val="18"/>
          <w:szCs w:val="24"/>
        </w:rPr>
        <w:t>Gorontalo University</w:t>
      </w:r>
      <w:r w:rsidRPr="00B768AE">
        <w:rPr>
          <w:noProof/>
          <w:sz w:val="18"/>
          <w:szCs w:val="24"/>
        </w:rPr>
        <w:t>, 2017, pp. 45–55.</w:t>
      </w:r>
    </w:p>
    <w:p w14:paraId="42AE68AC"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[10]</w:t>
      </w:r>
      <w:r w:rsidRPr="00B768AE">
        <w:rPr>
          <w:noProof/>
          <w:sz w:val="18"/>
          <w:szCs w:val="24"/>
        </w:rPr>
        <w:tab/>
        <w:t xml:space="preserve">S. Saran, P. Singh, V. Kumar, and P. Chauhan, “Review of Geospatial Technology for Infectious Disease Surveillance: Use Case on COVID-19,” </w:t>
      </w:r>
      <w:r w:rsidRPr="00B768AE">
        <w:rPr>
          <w:i/>
          <w:iCs/>
          <w:noProof/>
          <w:sz w:val="18"/>
          <w:szCs w:val="24"/>
        </w:rPr>
        <w:t>J. Indian Soc. Remote Sens.</w:t>
      </w:r>
      <w:r w:rsidRPr="00B768AE">
        <w:rPr>
          <w:noProof/>
          <w:sz w:val="18"/>
          <w:szCs w:val="24"/>
        </w:rPr>
        <w:t>, vol. 48, no. 8, pp. 1121–1138, 2020, doi: 10.1007/s12524-020-01140-5.</w:t>
      </w:r>
    </w:p>
    <w:p w14:paraId="37F25B96"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[11]</w:t>
      </w:r>
      <w:r w:rsidRPr="00B768AE">
        <w:rPr>
          <w:noProof/>
          <w:sz w:val="18"/>
          <w:szCs w:val="24"/>
        </w:rPr>
        <w:tab/>
        <w:t xml:space="preserve">D. S. S. Rejeki, N. Nurhayati, and B. Aji, “A spatiotemporal analysis of dengue hemorrhagic fever in Banyumas, Indonesia,” </w:t>
      </w:r>
      <w:r w:rsidRPr="00B768AE">
        <w:rPr>
          <w:i/>
          <w:iCs/>
          <w:noProof/>
          <w:sz w:val="18"/>
          <w:szCs w:val="24"/>
        </w:rPr>
        <w:t>Int. J. Public Heal. Sci.</w:t>
      </w:r>
      <w:r w:rsidRPr="00B768AE">
        <w:rPr>
          <w:noProof/>
          <w:sz w:val="18"/>
          <w:szCs w:val="24"/>
        </w:rPr>
        <w:t>, vol. 10, no. 2, pp. 231–240, 2021, doi: 10.11591/ijphs.v10i2.20713.</w:t>
      </w:r>
    </w:p>
    <w:p w14:paraId="67B05FCF"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[12]</w:t>
      </w:r>
      <w:r w:rsidRPr="00B768AE">
        <w:rPr>
          <w:noProof/>
          <w:sz w:val="18"/>
          <w:szCs w:val="24"/>
        </w:rPr>
        <w:tab/>
        <w:t xml:space="preserve">B. Bhatt and J. P. Joshi, “Analytical hierarchy process modeling for malaria risk zones in vadodara district, Gujarat,” </w:t>
      </w:r>
      <w:r w:rsidRPr="00B768AE">
        <w:rPr>
          <w:i/>
          <w:iCs/>
          <w:noProof/>
          <w:sz w:val="18"/>
          <w:szCs w:val="24"/>
        </w:rPr>
        <w:t>Int. Arch. Photogramm. Remote Sens. Spat. Inf. Sci. - ISPRS Arch.</w:t>
      </w:r>
      <w:r w:rsidRPr="00B768AE">
        <w:rPr>
          <w:noProof/>
          <w:sz w:val="18"/>
          <w:szCs w:val="24"/>
        </w:rPr>
        <w:t>, vol. XL–8, no. 1, pp. 171–176, 2014, doi: 10.5194/isprsarchives-XL-8-171-2014.</w:t>
      </w:r>
    </w:p>
    <w:p w14:paraId="74586BA0"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[13]</w:t>
      </w:r>
      <w:r w:rsidRPr="00B768AE">
        <w:rPr>
          <w:noProof/>
          <w:sz w:val="18"/>
          <w:szCs w:val="24"/>
        </w:rPr>
        <w:tab/>
        <w:t xml:space="preserve">N. C. Dom, A. H. Ahmad, Z. A. Latif, and R. Ismail, “Application of geographical information system-based analytical hierarchy process as a tool for dengue risk assessment,” </w:t>
      </w:r>
      <w:r w:rsidRPr="00B768AE">
        <w:rPr>
          <w:i/>
          <w:iCs/>
          <w:noProof/>
          <w:sz w:val="18"/>
          <w:szCs w:val="24"/>
        </w:rPr>
        <w:t>Asian Pacific J. Trop. Dis.</w:t>
      </w:r>
      <w:r w:rsidRPr="00B768AE">
        <w:rPr>
          <w:noProof/>
          <w:sz w:val="18"/>
          <w:szCs w:val="24"/>
        </w:rPr>
        <w:t>, vol. 6, no. 12, pp. 928–935, 2016.</w:t>
      </w:r>
    </w:p>
    <w:p w14:paraId="7F25DABF"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[14]</w:t>
      </w:r>
      <w:r w:rsidRPr="00B768AE">
        <w:rPr>
          <w:noProof/>
          <w:sz w:val="18"/>
          <w:szCs w:val="24"/>
        </w:rPr>
        <w:tab/>
        <w:t xml:space="preserve">H. A. Rakotoarison </w:t>
      </w:r>
      <w:r w:rsidRPr="00B768AE">
        <w:rPr>
          <w:i/>
          <w:iCs/>
          <w:noProof/>
          <w:sz w:val="18"/>
          <w:szCs w:val="24"/>
        </w:rPr>
        <w:t>et al.</w:t>
      </w:r>
      <w:r w:rsidRPr="00B768AE">
        <w:rPr>
          <w:noProof/>
          <w:sz w:val="18"/>
          <w:szCs w:val="24"/>
        </w:rPr>
        <w:t xml:space="preserve">, “Remote sensing and multi-criteria evaluation for malaria risk mapping to support indoor residual spraying prioritization in the central highlands of Madagascar,” </w:t>
      </w:r>
      <w:r w:rsidRPr="00B768AE">
        <w:rPr>
          <w:i/>
          <w:iCs/>
          <w:noProof/>
          <w:sz w:val="18"/>
          <w:szCs w:val="24"/>
        </w:rPr>
        <w:t>Remote Sens.</w:t>
      </w:r>
      <w:r w:rsidRPr="00B768AE">
        <w:rPr>
          <w:noProof/>
          <w:sz w:val="18"/>
          <w:szCs w:val="24"/>
        </w:rPr>
        <w:t>, vol. 12, no. 10, pp. 1–22, 2020, doi: 10.3390/rs12101585.</w:t>
      </w:r>
    </w:p>
    <w:p w14:paraId="6A45DAE1"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[15]</w:t>
      </w:r>
      <w:r w:rsidRPr="00B768AE">
        <w:rPr>
          <w:noProof/>
          <w:sz w:val="18"/>
          <w:szCs w:val="24"/>
        </w:rPr>
        <w:tab/>
        <w:t xml:space="preserve">X. Li </w:t>
      </w:r>
      <w:r w:rsidRPr="00B768AE">
        <w:rPr>
          <w:i/>
          <w:iCs/>
          <w:noProof/>
          <w:sz w:val="18"/>
          <w:szCs w:val="24"/>
        </w:rPr>
        <w:t>et al.</w:t>
      </w:r>
      <w:r w:rsidRPr="00B768AE">
        <w:rPr>
          <w:noProof/>
          <w:sz w:val="18"/>
          <w:szCs w:val="24"/>
        </w:rPr>
        <w:t xml:space="preserve">, “Application of the analytic hierarchy approach to the risk assessment of Zika virus disease transmission in Guangdong Province, China,” </w:t>
      </w:r>
      <w:r w:rsidRPr="00B768AE">
        <w:rPr>
          <w:i/>
          <w:iCs/>
          <w:noProof/>
          <w:sz w:val="18"/>
          <w:szCs w:val="24"/>
        </w:rPr>
        <w:t>BMC Infect. Dis.</w:t>
      </w:r>
      <w:r w:rsidRPr="00B768AE">
        <w:rPr>
          <w:noProof/>
          <w:sz w:val="18"/>
          <w:szCs w:val="24"/>
        </w:rPr>
        <w:t>, vol. 17, no. 1, pp. 1–9, 2017, doi: 10.1186/s12879-</w:t>
      </w:r>
      <w:r w:rsidRPr="00B768AE">
        <w:rPr>
          <w:noProof/>
          <w:sz w:val="18"/>
          <w:szCs w:val="24"/>
        </w:rPr>
        <w:lastRenderedPageBreak/>
        <w:t>016-2170-2.</w:t>
      </w:r>
    </w:p>
    <w:p w14:paraId="14EACF92"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[16]</w:t>
      </w:r>
      <w:r w:rsidRPr="00B768AE">
        <w:rPr>
          <w:noProof/>
          <w:sz w:val="18"/>
          <w:szCs w:val="24"/>
        </w:rPr>
        <w:tab/>
        <w:t xml:space="preserve">N. H. Schafrick, M. O. Milbrath, V. J. Berrocal, M. L. Wilson, and J. N. S. Eisenberg, “Spatial clustering of aedes aegypti related to breeding container characteristics in coastal Ecuador: Implications for dengue control,” </w:t>
      </w:r>
      <w:r w:rsidRPr="00B768AE">
        <w:rPr>
          <w:i/>
          <w:iCs/>
          <w:noProof/>
          <w:sz w:val="18"/>
          <w:szCs w:val="24"/>
        </w:rPr>
        <w:t>Am. J. Trop. Med. Hyg.</w:t>
      </w:r>
      <w:r w:rsidRPr="00B768AE">
        <w:rPr>
          <w:noProof/>
          <w:sz w:val="18"/>
          <w:szCs w:val="24"/>
        </w:rPr>
        <w:t>, vol. 89, no. 4, pp. 758–765, 2013, doi: 10.4269/ajtmh.12-0485.</w:t>
      </w:r>
    </w:p>
    <w:p w14:paraId="0F29C1C0"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[17]</w:t>
      </w:r>
      <w:r w:rsidRPr="00B768AE">
        <w:rPr>
          <w:noProof/>
          <w:sz w:val="18"/>
          <w:szCs w:val="24"/>
        </w:rPr>
        <w:tab/>
        <w:t xml:space="preserve">A. Bohra and H. Andrianasolo, “Application of GIS in modeling of dengue risk based on sociocultural data: Case of Jalore, Rajasthan, India,” </w:t>
      </w:r>
      <w:r w:rsidRPr="00B768AE">
        <w:rPr>
          <w:i/>
          <w:iCs/>
          <w:noProof/>
          <w:sz w:val="18"/>
          <w:szCs w:val="24"/>
        </w:rPr>
        <w:t>Dengue Bull.</w:t>
      </w:r>
      <w:r w:rsidRPr="00B768AE">
        <w:rPr>
          <w:noProof/>
          <w:sz w:val="18"/>
          <w:szCs w:val="24"/>
        </w:rPr>
        <w:t>, vol. 25, pp. 92–102, 2001.</w:t>
      </w:r>
    </w:p>
    <w:p w14:paraId="4FFA8E9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[18]</w:t>
      </w:r>
      <w:r w:rsidRPr="00B768AE">
        <w:rPr>
          <w:noProof/>
          <w:sz w:val="18"/>
          <w:szCs w:val="24"/>
        </w:rPr>
        <w:tab/>
        <w:t xml:space="preserve">W. P. Schmidt </w:t>
      </w:r>
      <w:r w:rsidRPr="00B768AE">
        <w:rPr>
          <w:i/>
          <w:iCs/>
          <w:noProof/>
          <w:sz w:val="18"/>
          <w:szCs w:val="24"/>
        </w:rPr>
        <w:t>et al.</w:t>
      </w:r>
      <w:r w:rsidRPr="00B768AE">
        <w:rPr>
          <w:noProof/>
          <w:sz w:val="18"/>
          <w:szCs w:val="24"/>
        </w:rPr>
        <w:t xml:space="preserve">, “Population density, water supply, and the risk of dengue fever in vietnam: Cohort study and spatial analysis,” </w:t>
      </w:r>
      <w:r w:rsidRPr="00B768AE">
        <w:rPr>
          <w:i/>
          <w:iCs/>
          <w:noProof/>
          <w:sz w:val="18"/>
          <w:szCs w:val="24"/>
        </w:rPr>
        <w:t>PLoS Med.</w:t>
      </w:r>
      <w:r w:rsidRPr="00B768AE">
        <w:rPr>
          <w:noProof/>
          <w:sz w:val="18"/>
          <w:szCs w:val="24"/>
        </w:rPr>
        <w:t>, vol. 8, no. 8, pp. 1–10, 2011, doi: 10.1371/journal.pmed.1001082.</w:t>
      </w:r>
    </w:p>
    <w:p w14:paraId="5A3CCDEF"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[19]</w:t>
      </w:r>
      <w:r w:rsidRPr="00B768AE">
        <w:rPr>
          <w:noProof/>
          <w:sz w:val="18"/>
          <w:szCs w:val="24"/>
        </w:rPr>
        <w:tab/>
        <w:t xml:space="preserve">A. Kusairi and R. Yulia, “Mapping of dengue fever distribution based on indonesian national standard cartography rules as an prevention indicator of outbreaks,” </w:t>
      </w:r>
      <w:r w:rsidRPr="00B768AE">
        <w:rPr>
          <w:i/>
          <w:iCs/>
          <w:noProof/>
          <w:sz w:val="18"/>
          <w:szCs w:val="24"/>
        </w:rPr>
        <w:t>J. Pendidik. IPA Indones.</w:t>
      </w:r>
      <w:r w:rsidRPr="00B768AE">
        <w:rPr>
          <w:noProof/>
          <w:sz w:val="18"/>
          <w:szCs w:val="24"/>
        </w:rPr>
        <w:t>, vol. 9, no. 1, pp. 91–96, 2020, doi: 10.15294/jpii.v9i1.21811.</w:t>
      </w:r>
    </w:p>
    <w:p w14:paraId="69B52190"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[20]</w:t>
      </w:r>
      <w:r w:rsidRPr="00B768AE">
        <w:rPr>
          <w:noProof/>
          <w:sz w:val="18"/>
          <w:szCs w:val="24"/>
        </w:rPr>
        <w:tab/>
        <w:t xml:space="preserve">C. D. Chen, H. L. Lee, S. P. Stella-Wong, K. W. Lau, and M. Sofian-Azirun, “Container survey of mosquito breeding sites in a university campus in Kuala Lumpur, Malaysia,” </w:t>
      </w:r>
      <w:r w:rsidRPr="00B768AE">
        <w:rPr>
          <w:i/>
          <w:iCs/>
          <w:noProof/>
          <w:sz w:val="18"/>
          <w:szCs w:val="24"/>
        </w:rPr>
        <w:t>Dengue Bull.</w:t>
      </w:r>
      <w:r w:rsidRPr="00B768AE">
        <w:rPr>
          <w:noProof/>
          <w:sz w:val="18"/>
          <w:szCs w:val="24"/>
        </w:rPr>
        <w:t>, vol. 33, no. 1, pp. 187–193, 2009.</w:t>
      </w:r>
    </w:p>
    <w:p w14:paraId="64D5860D"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[21]</w:t>
      </w:r>
      <w:r w:rsidRPr="00B768AE">
        <w:rPr>
          <w:noProof/>
          <w:sz w:val="18"/>
          <w:szCs w:val="24"/>
        </w:rPr>
        <w:tab/>
        <w:t xml:space="preserve">R. S. Mahabir, D. W. Severson, and D. D. Chadee, “Impact of road networks on the distribution of dengue fever cases in Trinidad, West Indies,” </w:t>
      </w:r>
      <w:r w:rsidRPr="00B768AE">
        <w:rPr>
          <w:i/>
          <w:iCs/>
          <w:noProof/>
          <w:sz w:val="18"/>
          <w:szCs w:val="24"/>
        </w:rPr>
        <w:t>Acta Trop.</w:t>
      </w:r>
      <w:r w:rsidRPr="00B768AE">
        <w:rPr>
          <w:noProof/>
          <w:sz w:val="18"/>
          <w:szCs w:val="24"/>
        </w:rPr>
        <w:t>, vol. 123, no. 3, pp. 178–183, 2012, doi: 10.1016/j.actatropica.2012.05.001.</w:t>
      </w:r>
    </w:p>
    <w:p w14:paraId="6E847A69"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[22]</w:t>
      </w:r>
      <w:r w:rsidRPr="00B768AE">
        <w:rPr>
          <w:noProof/>
          <w:sz w:val="18"/>
          <w:szCs w:val="24"/>
        </w:rPr>
        <w:tab/>
        <w:t xml:space="preserve">M. A. F. Regilme, T. M. Carvajal, A. Honnen, D. M. Amalin, and K. Watanabeid, “The influence of roads on the fine-scale population genetic structure of the dengue vector aedes aegypti (Linnaeus),” </w:t>
      </w:r>
      <w:r w:rsidRPr="00B768AE">
        <w:rPr>
          <w:i/>
          <w:iCs/>
          <w:noProof/>
          <w:sz w:val="18"/>
          <w:szCs w:val="24"/>
        </w:rPr>
        <w:t>PLoS Negl. Trop. Dis.</w:t>
      </w:r>
      <w:r w:rsidRPr="00B768AE">
        <w:rPr>
          <w:noProof/>
          <w:sz w:val="18"/>
          <w:szCs w:val="24"/>
        </w:rPr>
        <w:t>, vol. 15, no. 2, pp. 1–14, 2021, doi: 10.1371/journal.pntd.0009139.</w:t>
      </w:r>
    </w:p>
    <w:p w14:paraId="6B58F83E"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[23]</w:t>
      </w:r>
      <w:r w:rsidRPr="00B768AE">
        <w:rPr>
          <w:noProof/>
          <w:sz w:val="18"/>
          <w:szCs w:val="24"/>
        </w:rPr>
        <w:tab/>
        <w:t xml:space="preserve">H. Harapan, A. Michie, M. Mudatsir, R. T. Sasmono, and A. Imrie, “Epidemiology of dengue hemorrhagic fever in Indonesia: Analysis of five decades data from the National Disease Surveillance,” </w:t>
      </w:r>
      <w:r w:rsidRPr="00B768AE">
        <w:rPr>
          <w:i/>
          <w:iCs/>
          <w:noProof/>
          <w:sz w:val="18"/>
          <w:szCs w:val="24"/>
        </w:rPr>
        <w:t>BMC Res. Notes</w:t>
      </w:r>
      <w:r w:rsidRPr="00B768AE">
        <w:rPr>
          <w:noProof/>
          <w:sz w:val="18"/>
          <w:szCs w:val="24"/>
        </w:rPr>
        <w:t>, vol. 12, no. 1, pp. 4–9, 2019, doi: 10.1186/s13104-019-4379-9.</w:t>
      </w:r>
    </w:p>
    <w:p w14:paraId="4F384428"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[24]</w:t>
      </w:r>
      <w:r w:rsidRPr="00B768AE">
        <w:rPr>
          <w:noProof/>
          <w:sz w:val="18"/>
          <w:szCs w:val="24"/>
        </w:rPr>
        <w:tab/>
        <w:t xml:space="preserve">Y. L. Cheong, P. J. Leitão, and T. Lakes, “Assessment of land use factors associated with dengue cases in Malaysia using boosted regression trees,” </w:t>
      </w:r>
      <w:r w:rsidRPr="00B768AE">
        <w:rPr>
          <w:i/>
          <w:iCs/>
          <w:noProof/>
          <w:sz w:val="18"/>
          <w:szCs w:val="24"/>
        </w:rPr>
        <w:t>Spat. Spatiotemporal. Epidemiol.</w:t>
      </w:r>
      <w:r w:rsidRPr="00B768AE">
        <w:rPr>
          <w:noProof/>
          <w:sz w:val="18"/>
          <w:szCs w:val="24"/>
        </w:rPr>
        <w:t>, vol. 10, pp. 75–84, 2014, doi: 10.1016/j.sste.2014.05.002.</w:t>
      </w:r>
    </w:p>
    <w:p w14:paraId="3C9B801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[25]</w:t>
      </w:r>
      <w:r w:rsidRPr="00B768AE">
        <w:rPr>
          <w:noProof/>
          <w:sz w:val="18"/>
          <w:szCs w:val="24"/>
        </w:rPr>
        <w:tab/>
        <w:t xml:space="preserve">R. V. Araujo </w:t>
      </w:r>
      <w:r w:rsidRPr="00B768AE">
        <w:rPr>
          <w:i/>
          <w:iCs/>
          <w:noProof/>
          <w:sz w:val="18"/>
          <w:szCs w:val="24"/>
        </w:rPr>
        <w:t>et al.</w:t>
      </w:r>
      <w:r w:rsidRPr="00B768AE">
        <w:rPr>
          <w:noProof/>
          <w:sz w:val="18"/>
          <w:szCs w:val="24"/>
        </w:rPr>
        <w:t xml:space="preserve">, “São Paulo urban heat islands have a higher incidence of dengue than other urban areas,” </w:t>
      </w:r>
      <w:r w:rsidRPr="00B768AE">
        <w:rPr>
          <w:i/>
          <w:iCs/>
          <w:noProof/>
          <w:sz w:val="18"/>
          <w:szCs w:val="24"/>
        </w:rPr>
        <w:t>Brazilian J. Infect. Dis.</w:t>
      </w:r>
      <w:r w:rsidRPr="00B768AE">
        <w:rPr>
          <w:noProof/>
          <w:sz w:val="18"/>
          <w:szCs w:val="24"/>
        </w:rPr>
        <w:t>, vol. 19, no. 2, pp. 146–155, 2015, doi: 10.1016/j.bjid.2014.10.004.</w:t>
      </w:r>
    </w:p>
    <w:p w14:paraId="348D7F6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[26]</w:t>
      </w:r>
      <w:r w:rsidRPr="00B768AE">
        <w:rPr>
          <w:noProof/>
          <w:sz w:val="18"/>
          <w:szCs w:val="24"/>
        </w:rPr>
        <w:tab/>
        <w:t xml:space="preserve">T. L. Saaty, </w:t>
      </w:r>
      <w:r w:rsidRPr="00B768AE">
        <w:rPr>
          <w:i/>
          <w:iCs/>
          <w:noProof/>
          <w:sz w:val="18"/>
          <w:szCs w:val="24"/>
        </w:rPr>
        <w:t>The Analytic Hierarchy Process</w:t>
      </w:r>
      <w:r w:rsidRPr="00B768AE">
        <w:rPr>
          <w:noProof/>
          <w:sz w:val="18"/>
          <w:szCs w:val="24"/>
        </w:rPr>
        <w:t>. New York: McGraw Hill. International, 1980.</w:t>
      </w:r>
    </w:p>
    <w:p w14:paraId="335D1065"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[27]</w:t>
      </w:r>
      <w:r w:rsidRPr="00B768AE">
        <w:rPr>
          <w:noProof/>
          <w:sz w:val="18"/>
          <w:szCs w:val="24"/>
        </w:rPr>
        <w:tab/>
        <w:t xml:space="preserve">T. L. Saaty, “Decision making with the analytic hierarchy process,” </w:t>
      </w:r>
      <w:r w:rsidRPr="00B768AE">
        <w:rPr>
          <w:i/>
          <w:iCs/>
          <w:noProof/>
          <w:sz w:val="18"/>
          <w:szCs w:val="24"/>
        </w:rPr>
        <w:t>Int. J. Serv. Sci.</w:t>
      </w:r>
      <w:r w:rsidRPr="00B768AE">
        <w:rPr>
          <w:noProof/>
          <w:sz w:val="18"/>
          <w:szCs w:val="24"/>
        </w:rPr>
        <w:t>, vol. 1(1), pp. 83–98, 2008, doi: 10.1504/IJSSCI.2008.017590.</w:t>
      </w:r>
    </w:p>
    <w:p w14:paraId="144AD034"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[28]</w:t>
      </w:r>
      <w:r w:rsidRPr="00B768AE">
        <w:rPr>
          <w:noProof/>
          <w:sz w:val="18"/>
          <w:szCs w:val="24"/>
        </w:rPr>
        <w:tab/>
        <w:t xml:space="preserve">Wanti </w:t>
      </w:r>
      <w:r w:rsidRPr="00B768AE">
        <w:rPr>
          <w:i/>
          <w:iCs/>
          <w:noProof/>
          <w:sz w:val="18"/>
          <w:szCs w:val="24"/>
        </w:rPr>
        <w:t>et al.</w:t>
      </w:r>
      <w:r w:rsidRPr="00B768AE">
        <w:rPr>
          <w:noProof/>
          <w:sz w:val="18"/>
          <w:szCs w:val="24"/>
        </w:rPr>
        <w:t xml:space="preserve">, “Dengue hemorrhagic fever and house conditions in Kupang City, East Nusa Tenggara Province,” </w:t>
      </w:r>
      <w:r w:rsidRPr="00B768AE">
        <w:rPr>
          <w:i/>
          <w:iCs/>
          <w:noProof/>
          <w:sz w:val="18"/>
          <w:szCs w:val="24"/>
        </w:rPr>
        <w:t>Kesmas</w:t>
      </w:r>
      <w:r w:rsidRPr="00B768AE">
        <w:rPr>
          <w:noProof/>
          <w:sz w:val="18"/>
          <w:szCs w:val="24"/>
        </w:rPr>
        <w:t>, vol. 13, no. 4, pp. 177–182, 2019, doi: 10.21109/kesmas.v13i4.2701.</w:t>
      </w:r>
    </w:p>
    <w:p w14:paraId="152228BE" w14:textId="77777777" w:rsidR="00B768AE" w:rsidRPr="00B768AE" w:rsidRDefault="00B768AE" w:rsidP="00D57F12">
      <w:pPr>
        <w:widowControl w:val="0"/>
        <w:autoSpaceDE w:val="0"/>
        <w:autoSpaceDN w:val="0"/>
        <w:adjustRightInd w:val="0"/>
        <w:ind w:left="640" w:hanging="640"/>
        <w:jc w:val="both"/>
        <w:rPr>
          <w:noProof/>
          <w:sz w:val="18"/>
          <w:szCs w:val="24"/>
        </w:rPr>
      </w:pPr>
      <w:r w:rsidRPr="00B768AE">
        <w:rPr>
          <w:noProof/>
          <w:sz w:val="18"/>
          <w:szCs w:val="24"/>
        </w:rPr>
        <w:t>[29]</w:t>
      </w:r>
      <w:r w:rsidRPr="00B768AE">
        <w:rPr>
          <w:noProof/>
          <w:sz w:val="18"/>
          <w:szCs w:val="24"/>
        </w:rPr>
        <w:tab/>
        <w:t xml:space="preserve">H. Fuadzy </w:t>
      </w:r>
      <w:r w:rsidRPr="00B768AE">
        <w:rPr>
          <w:i/>
          <w:iCs/>
          <w:noProof/>
          <w:sz w:val="18"/>
          <w:szCs w:val="24"/>
        </w:rPr>
        <w:t>et al.</w:t>
      </w:r>
      <w:r w:rsidRPr="00B768AE">
        <w:rPr>
          <w:noProof/>
          <w:sz w:val="18"/>
          <w:szCs w:val="24"/>
        </w:rPr>
        <w:t xml:space="preserve">, “Risk factors associated with Dengue incidence in Bandung, Indonesia: a household based case-control study,” </w:t>
      </w:r>
      <w:r w:rsidRPr="00B768AE">
        <w:rPr>
          <w:i/>
          <w:iCs/>
          <w:noProof/>
          <w:sz w:val="18"/>
          <w:szCs w:val="24"/>
        </w:rPr>
        <w:t>Heal. Sci. J. Indones.</w:t>
      </w:r>
      <w:r w:rsidRPr="00B768AE">
        <w:rPr>
          <w:noProof/>
          <w:sz w:val="18"/>
          <w:szCs w:val="24"/>
        </w:rPr>
        <w:t>, vol. 11, no. 1, pp. 45–51, 2020, doi: 10.22435/hsji.v11i1.3150.</w:t>
      </w:r>
    </w:p>
    <w:p w14:paraId="5A81D04C" w14:textId="77777777" w:rsidR="00B768AE" w:rsidRPr="00B768AE" w:rsidRDefault="00B768AE" w:rsidP="00D57F12">
      <w:pPr>
        <w:widowControl w:val="0"/>
        <w:autoSpaceDE w:val="0"/>
        <w:autoSpaceDN w:val="0"/>
        <w:adjustRightInd w:val="0"/>
        <w:ind w:left="640" w:hanging="640"/>
        <w:jc w:val="both"/>
        <w:rPr>
          <w:noProof/>
          <w:sz w:val="18"/>
        </w:rPr>
      </w:pPr>
      <w:r w:rsidRPr="00B768AE">
        <w:rPr>
          <w:noProof/>
          <w:sz w:val="18"/>
          <w:szCs w:val="24"/>
        </w:rPr>
        <w:t>[30]</w:t>
      </w:r>
      <w:r w:rsidRPr="00B768AE">
        <w:rPr>
          <w:noProof/>
          <w:sz w:val="18"/>
          <w:szCs w:val="24"/>
        </w:rPr>
        <w:tab/>
        <w:t xml:space="preserve">WHO, </w:t>
      </w:r>
      <w:r w:rsidRPr="00B768AE">
        <w:rPr>
          <w:i/>
          <w:iCs/>
          <w:noProof/>
          <w:sz w:val="18"/>
          <w:szCs w:val="24"/>
        </w:rPr>
        <w:t>Managing Epidemics, Key facts about major deadly diseases</w:t>
      </w:r>
      <w:r w:rsidRPr="00B768AE">
        <w:rPr>
          <w:noProof/>
          <w:sz w:val="18"/>
          <w:szCs w:val="24"/>
        </w:rPr>
        <w:t>. 2018.</w:t>
      </w:r>
    </w:p>
    <w:p w14:paraId="698F93FC" w14:textId="6166CF62" w:rsidR="00231A19" w:rsidRDefault="005E17F2" w:rsidP="00D57F12">
      <w:pPr>
        <w:pStyle w:val="ListParagraph"/>
        <w:tabs>
          <w:tab w:val="left" w:pos="426"/>
        </w:tabs>
        <w:spacing w:after="0"/>
        <w:ind w:left="426"/>
        <w:jc w:val="both"/>
        <w:rPr>
          <w:rFonts w:ascii="Times New Roman" w:hAnsi="Times New Roman"/>
          <w:sz w:val="18"/>
          <w:szCs w:val="20"/>
          <w:lang w:val="id-ID"/>
        </w:rPr>
      </w:pPr>
      <w:r>
        <w:rPr>
          <w:rFonts w:ascii="Times New Roman" w:hAnsi="Times New Roman"/>
          <w:color w:val="000000"/>
          <w:sz w:val="18"/>
          <w:szCs w:val="18"/>
          <w:lang w:val="en-US" w:eastAsia="en-US"/>
        </w:rPr>
        <w:fldChar w:fldCharType="end"/>
      </w:r>
    </w:p>
    <w:p w14:paraId="442D25F4" w14:textId="77777777" w:rsidR="00F81ABB" w:rsidRPr="00F81ABB" w:rsidRDefault="00F81ABB" w:rsidP="00F81ABB">
      <w:pPr>
        <w:tabs>
          <w:tab w:val="left" w:pos="426"/>
        </w:tabs>
        <w:jc w:val="both"/>
        <w:rPr>
          <w:lang w:val="id-ID"/>
        </w:rPr>
      </w:pPr>
    </w:p>
    <w:p w14:paraId="1315E1B4" w14:textId="77777777" w:rsidR="00F81ABB" w:rsidRPr="00F81ABB" w:rsidRDefault="00F81ABB" w:rsidP="00F81ABB">
      <w:pPr>
        <w:tabs>
          <w:tab w:val="left" w:pos="426"/>
        </w:tabs>
        <w:jc w:val="both"/>
        <w:rPr>
          <w:lang w:val="id-ID"/>
        </w:rPr>
      </w:pPr>
    </w:p>
    <w:p w14:paraId="32C75E24" w14:textId="77777777" w:rsidR="00B768AE" w:rsidRDefault="00B768AE">
      <w:pPr>
        <w:rPr>
          <w:rStyle w:val="apple-style-span"/>
          <w:b/>
          <w:color w:val="000000"/>
          <w:lang w:val="pt-BR"/>
        </w:rPr>
      </w:pPr>
      <w:r>
        <w:rPr>
          <w:rStyle w:val="apple-style-span"/>
          <w:b/>
          <w:color w:val="000000"/>
          <w:lang w:val="pt-BR"/>
        </w:rPr>
        <w:br w:type="page"/>
      </w:r>
    </w:p>
    <w:p w14:paraId="4980649F" w14:textId="0962EA68" w:rsidR="00231A19" w:rsidRDefault="00F33C08" w:rsidP="00F81ABB">
      <w:pPr>
        <w:rPr>
          <w:b/>
          <w:bCs/>
        </w:rPr>
      </w:pPr>
      <w:r>
        <w:rPr>
          <w:rStyle w:val="apple-style-span"/>
          <w:b/>
          <w:color w:val="000000"/>
          <w:lang w:val="pt-BR"/>
        </w:rPr>
        <w:lastRenderedPageBreak/>
        <w:t>BIOGRAPH</w:t>
      </w:r>
      <w:r w:rsidR="0058279C">
        <w:rPr>
          <w:rStyle w:val="apple-style-span"/>
          <w:b/>
          <w:color w:val="000000"/>
          <w:lang w:val="pt-BR"/>
        </w:rPr>
        <w:t>IES</w:t>
      </w:r>
      <w:r>
        <w:rPr>
          <w:rStyle w:val="apple-style-span"/>
          <w:b/>
          <w:color w:val="000000"/>
          <w:lang w:val="pt-BR"/>
        </w:rPr>
        <w:t xml:space="preserve"> OF AUTHORS</w:t>
      </w:r>
    </w:p>
    <w:p w14:paraId="5DA1045F"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4B4BD408" w14:textId="77777777" w:rsidTr="00F33C08">
        <w:tc>
          <w:tcPr>
            <w:tcW w:w="1813" w:type="dxa"/>
          </w:tcPr>
          <w:p w14:paraId="05319DD6" w14:textId="77777777" w:rsidR="00231A19" w:rsidRPr="00231A19" w:rsidRDefault="00231A19" w:rsidP="00A47AD5">
            <w:pPr>
              <w:rPr>
                <w:color w:val="000000"/>
                <w:lang w:val="pt-BR"/>
              </w:rPr>
            </w:pPr>
          </w:p>
          <w:p w14:paraId="5B80CEBE" w14:textId="77777777" w:rsidR="00231A19" w:rsidRPr="00231A19" w:rsidRDefault="00231A19" w:rsidP="00A47AD5">
            <w:pPr>
              <w:jc w:val="center"/>
              <w:rPr>
                <w:color w:val="000000"/>
                <w:lang w:val="pt-BR"/>
              </w:rPr>
            </w:pPr>
            <w:r w:rsidRPr="00231A19">
              <w:rPr>
                <w:color w:val="000000"/>
                <w:lang w:val="pt-BR"/>
              </w:rPr>
              <w:t xml:space="preserve">First author’s </w:t>
            </w:r>
          </w:p>
          <w:p w14:paraId="77882B1B" w14:textId="5D4C0470" w:rsidR="00231A19" w:rsidRPr="00231A19" w:rsidRDefault="00231A19" w:rsidP="00A47AD5">
            <w:pPr>
              <w:jc w:val="center"/>
              <w:rPr>
                <w:color w:val="000000"/>
                <w:lang w:val="pt-BR"/>
              </w:rPr>
            </w:pPr>
          </w:p>
          <w:p w14:paraId="3DEAB414" w14:textId="396D5A63" w:rsidR="00231A19" w:rsidRPr="00231A19" w:rsidRDefault="00405202" w:rsidP="00A47AD5">
            <w:pPr>
              <w:jc w:val="center"/>
              <w:rPr>
                <w:color w:val="000000"/>
                <w:lang w:val="pt-BR"/>
              </w:rPr>
            </w:pPr>
            <w:r>
              <w:rPr>
                <w:noProof/>
              </w:rPr>
              <w:drawing>
                <wp:inline distT="0" distB="0" distL="0" distR="0" wp14:anchorId="104AA91F" wp14:editId="1C685A88">
                  <wp:extent cx="1078865" cy="144780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853" b="5109"/>
                          <a:stretch/>
                        </pic:blipFill>
                        <pic:spPr bwMode="auto">
                          <a:xfrm>
                            <a:off x="0" y="0"/>
                            <a:ext cx="1080000" cy="14493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26" w:type="dxa"/>
          </w:tcPr>
          <w:p w14:paraId="606CDC49" w14:textId="6373DC7B" w:rsidR="00A47AD5" w:rsidRPr="00231A19" w:rsidRDefault="003F5148" w:rsidP="003F5148">
            <w:pPr>
              <w:jc w:val="both"/>
              <w:rPr>
                <w:color w:val="000000"/>
                <w:lang w:val="pt-BR"/>
              </w:rPr>
            </w:pPr>
            <w:proofErr w:type="spellStart"/>
            <w:r w:rsidRPr="003F5148">
              <w:rPr>
                <w:color w:val="000000"/>
                <w:sz w:val="18"/>
                <w:szCs w:val="18"/>
              </w:rPr>
              <w:t>Ririn</w:t>
            </w:r>
            <w:proofErr w:type="spellEnd"/>
            <w:r w:rsidRPr="003F5148">
              <w:rPr>
                <w:color w:val="000000"/>
                <w:sz w:val="18"/>
                <w:szCs w:val="18"/>
              </w:rPr>
              <w:t xml:space="preserve"> </w:t>
            </w:r>
            <w:proofErr w:type="spellStart"/>
            <w:r w:rsidRPr="003F5148">
              <w:rPr>
                <w:color w:val="000000"/>
                <w:sz w:val="18"/>
                <w:szCs w:val="18"/>
              </w:rPr>
              <w:t>Pakaya</w:t>
            </w:r>
            <w:proofErr w:type="spellEnd"/>
            <w:r w:rsidRPr="003F5148">
              <w:rPr>
                <w:color w:val="000000"/>
                <w:sz w:val="18"/>
                <w:szCs w:val="18"/>
              </w:rPr>
              <w:t xml:space="preserve">, </w:t>
            </w:r>
            <w:proofErr w:type="gramStart"/>
            <w:r w:rsidRPr="003F5148">
              <w:rPr>
                <w:color w:val="000000"/>
                <w:sz w:val="18"/>
                <w:szCs w:val="18"/>
              </w:rPr>
              <w:t>SKM,,</w:t>
            </w:r>
            <w:proofErr w:type="gramEnd"/>
            <w:r w:rsidRPr="003F5148">
              <w:rPr>
                <w:color w:val="000000"/>
                <w:sz w:val="18"/>
                <w:szCs w:val="18"/>
              </w:rPr>
              <w:t xml:space="preserve"> M.P.H, completed his Masters in Public Health at the Faculty of Medicine, Universi</w:t>
            </w:r>
            <w:r>
              <w:rPr>
                <w:color w:val="000000"/>
                <w:sz w:val="18"/>
                <w:szCs w:val="18"/>
              </w:rPr>
              <w:t xml:space="preserve">tas </w:t>
            </w:r>
            <w:r w:rsidRPr="003F5148">
              <w:rPr>
                <w:color w:val="000000"/>
                <w:sz w:val="18"/>
                <w:szCs w:val="18"/>
              </w:rPr>
              <w:t xml:space="preserve">Gadjah </w:t>
            </w:r>
            <w:proofErr w:type="spellStart"/>
            <w:r w:rsidRPr="003F5148">
              <w:rPr>
                <w:color w:val="000000"/>
                <w:sz w:val="18"/>
                <w:szCs w:val="18"/>
              </w:rPr>
              <w:t>Mada</w:t>
            </w:r>
            <w:proofErr w:type="spellEnd"/>
            <w:r w:rsidRPr="003F5148">
              <w:rPr>
                <w:color w:val="000000"/>
                <w:sz w:val="18"/>
                <w:szCs w:val="18"/>
              </w:rPr>
              <w:t>. Working as a Lecturer in the Public Health Sciences Study Program. As a Lecturer and Researcher, carrying out research and development tasks in the field of Environmental Health. Scientific works published in Journals including: Spatial Analysis and Environmental Factors Associated Against Case of Dengue Hemorrhagic Fever (</w:t>
            </w:r>
            <w:proofErr w:type="spellStart"/>
            <w:r w:rsidRPr="003F5148">
              <w:rPr>
                <w:color w:val="000000"/>
                <w:sz w:val="18"/>
                <w:szCs w:val="18"/>
              </w:rPr>
              <w:t>Dhf</w:t>
            </w:r>
            <w:proofErr w:type="spellEnd"/>
            <w:r w:rsidRPr="003F5148">
              <w:rPr>
                <w:color w:val="000000"/>
                <w:sz w:val="18"/>
                <w:szCs w:val="18"/>
              </w:rPr>
              <w:t xml:space="preserve">) in </w:t>
            </w:r>
            <w:proofErr w:type="spellStart"/>
            <w:r w:rsidRPr="003F5148">
              <w:rPr>
                <w:color w:val="000000"/>
                <w:sz w:val="18"/>
                <w:szCs w:val="18"/>
              </w:rPr>
              <w:t>Limboto</w:t>
            </w:r>
            <w:proofErr w:type="spellEnd"/>
            <w:r w:rsidRPr="003F5148">
              <w:rPr>
                <w:color w:val="000000"/>
                <w:sz w:val="18"/>
                <w:szCs w:val="18"/>
              </w:rPr>
              <w:t xml:space="preserve"> District, Gorontalo (2017); </w:t>
            </w:r>
            <w:r w:rsidRPr="003F5148">
              <w:rPr>
                <w:color w:val="000000"/>
                <w:sz w:val="18"/>
                <w:szCs w:val="18"/>
              </w:rPr>
              <w:t>Spatial – Temporal Analysis Incidence Of Dengue Hemorrhagic Fever (</w:t>
            </w:r>
            <w:proofErr w:type="spellStart"/>
            <w:r w:rsidRPr="003F5148">
              <w:rPr>
                <w:color w:val="000000"/>
                <w:sz w:val="18"/>
                <w:szCs w:val="18"/>
              </w:rPr>
              <w:t>Dhf</w:t>
            </w:r>
            <w:proofErr w:type="spellEnd"/>
            <w:r w:rsidRPr="003F5148">
              <w:rPr>
                <w:color w:val="000000"/>
                <w:sz w:val="18"/>
                <w:szCs w:val="18"/>
              </w:rPr>
              <w:t xml:space="preserve">) Against Weather Variable In </w:t>
            </w:r>
            <w:proofErr w:type="spellStart"/>
            <w:r w:rsidRPr="003F5148">
              <w:rPr>
                <w:color w:val="000000"/>
                <w:sz w:val="18"/>
                <w:szCs w:val="18"/>
              </w:rPr>
              <w:t>Limboto</w:t>
            </w:r>
            <w:proofErr w:type="spellEnd"/>
            <w:r w:rsidRPr="003F5148">
              <w:rPr>
                <w:color w:val="000000"/>
                <w:sz w:val="18"/>
                <w:szCs w:val="18"/>
              </w:rPr>
              <w:t xml:space="preserve"> And </w:t>
            </w:r>
            <w:proofErr w:type="spellStart"/>
            <w:r w:rsidRPr="003F5148">
              <w:rPr>
                <w:color w:val="000000"/>
                <w:sz w:val="18"/>
                <w:szCs w:val="18"/>
              </w:rPr>
              <w:t>Telaga</w:t>
            </w:r>
            <w:proofErr w:type="spellEnd"/>
            <w:r w:rsidRPr="003F5148">
              <w:rPr>
                <w:color w:val="000000"/>
                <w:sz w:val="18"/>
                <w:szCs w:val="18"/>
              </w:rPr>
              <w:t xml:space="preserve"> </w:t>
            </w:r>
            <w:proofErr w:type="spellStart"/>
            <w:r w:rsidRPr="003F5148">
              <w:rPr>
                <w:color w:val="000000"/>
                <w:sz w:val="18"/>
                <w:szCs w:val="18"/>
              </w:rPr>
              <w:t>Biru</w:t>
            </w:r>
            <w:proofErr w:type="spellEnd"/>
            <w:r w:rsidRPr="003F5148">
              <w:rPr>
                <w:color w:val="000000"/>
                <w:sz w:val="18"/>
                <w:szCs w:val="18"/>
              </w:rPr>
              <w:t xml:space="preserve"> District, Gorontalo Regency Year 2012-2015(2017); </w:t>
            </w:r>
            <w:r w:rsidRPr="003F5148">
              <w:rPr>
                <w:color w:val="000000"/>
                <w:sz w:val="18"/>
                <w:szCs w:val="18"/>
              </w:rPr>
              <w:t xml:space="preserve">The Influence of Spatial Distribution of Social Environmental Factors on the Incidence of Dengue Hemorrhagic Fever (DHF) in </w:t>
            </w:r>
            <w:proofErr w:type="spellStart"/>
            <w:r w:rsidRPr="003F5148">
              <w:rPr>
                <w:color w:val="000000"/>
                <w:sz w:val="18"/>
                <w:szCs w:val="18"/>
              </w:rPr>
              <w:t>Limboto</w:t>
            </w:r>
            <w:proofErr w:type="spellEnd"/>
            <w:r w:rsidRPr="003F5148">
              <w:rPr>
                <w:color w:val="000000"/>
                <w:sz w:val="18"/>
                <w:szCs w:val="18"/>
              </w:rPr>
              <w:t xml:space="preserve"> District (2018); Factors related to Pulmonary Tuberculosis Incident in Public Health Center of </w:t>
            </w:r>
            <w:proofErr w:type="spellStart"/>
            <w:r w:rsidRPr="003F5148">
              <w:rPr>
                <w:color w:val="000000"/>
                <w:sz w:val="18"/>
                <w:szCs w:val="18"/>
              </w:rPr>
              <w:t>Limboto</w:t>
            </w:r>
            <w:proofErr w:type="spellEnd"/>
            <w:r w:rsidRPr="003F5148">
              <w:rPr>
                <w:color w:val="000000"/>
                <w:sz w:val="18"/>
                <w:szCs w:val="18"/>
              </w:rPr>
              <w:t xml:space="preserve"> Year (2020); Spatial Distribution of Pulmonary Tuberculosis </w:t>
            </w:r>
            <w:r>
              <w:rPr>
                <w:color w:val="000000"/>
                <w:sz w:val="18"/>
                <w:szCs w:val="18"/>
              </w:rPr>
              <w:t>BTA</w:t>
            </w:r>
            <w:r w:rsidRPr="003F5148">
              <w:rPr>
                <w:color w:val="000000"/>
                <w:sz w:val="18"/>
                <w:szCs w:val="18"/>
              </w:rPr>
              <w:t xml:space="preserve"> Positiv</w:t>
            </w:r>
            <w:r>
              <w:rPr>
                <w:color w:val="000000"/>
                <w:sz w:val="18"/>
                <w:szCs w:val="18"/>
              </w:rPr>
              <w:t>e</w:t>
            </w:r>
            <w:r w:rsidRPr="003F5148">
              <w:rPr>
                <w:color w:val="000000"/>
                <w:sz w:val="18"/>
                <w:szCs w:val="18"/>
              </w:rPr>
              <w:t xml:space="preserve"> Associated with Weather Factors in Gorontalo City 2016-2018 (2021). H</w:t>
            </w:r>
            <w:r>
              <w:rPr>
                <w:color w:val="000000"/>
                <w:sz w:val="18"/>
                <w:szCs w:val="18"/>
              </w:rPr>
              <w:t>er</w:t>
            </w:r>
            <w:r w:rsidRPr="003F5148">
              <w:rPr>
                <w:color w:val="000000"/>
                <w:sz w:val="18"/>
                <w:szCs w:val="18"/>
              </w:rPr>
              <w:t xml:space="preserve"> team has received one awards recognizing the excellence and innovation of the work: Best presenter award, International Seminar in </w:t>
            </w:r>
            <w:proofErr w:type="gramStart"/>
            <w:r w:rsidRPr="003F5148">
              <w:rPr>
                <w:color w:val="000000"/>
                <w:sz w:val="18"/>
                <w:szCs w:val="18"/>
              </w:rPr>
              <w:t>The</w:t>
            </w:r>
            <w:proofErr w:type="gramEnd"/>
            <w:r w:rsidRPr="003F5148">
              <w:rPr>
                <w:color w:val="000000"/>
                <w:sz w:val="18"/>
                <w:szCs w:val="18"/>
              </w:rPr>
              <w:t xml:space="preserve"> 1st International Seminar on Developing Country, Makassar 2019.</w:t>
            </w:r>
            <w:r w:rsidRPr="003F5148">
              <w:rPr>
                <w:color w:val="000000"/>
                <w:sz w:val="18"/>
                <w:szCs w:val="18"/>
                <w:lang w:val="pt-BR"/>
              </w:rPr>
              <w:t xml:space="preserve"> </w:t>
            </w:r>
          </w:p>
        </w:tc>
      </w:tr>
      <w:tr w:rsidR="00A47AD5" w14:paraId="2CFFBBB2" w14:textId="77777777" w:rsidTr="00F33C08">
        <w:tc>
          <w:tcPr>
            <w:tcW w:w="1813" w:type="dxa"/>
          </w:tcPr>
          <w:p w14:paraId="371205E2" w14:textId="77777777" w:rsidR="00A47AD5" w:rsidRPr="00231A19" w:rsidRDefault="00A47AD5" w:rsidP="00A47AD5">
            <w:pPr>
              <w:rPr>
                <w:color w:val="000000"/>
                <w:lang w:val="pt-BR"/>
              </w:rPr>
            </w:pPr>
          </w:p>
        </w:tc>
        <w:tc>
          <w:tcPr>
            <w:tcW w:w="7226" w:type="dxa"/>
          </w:tcPr>
          <w:p w14:paraId="497873D0" w14:textId="77777777" w:rsidR="00A47AD5" w:rsidRPr="00231A19" w:rsidRDefault="00A47AD5" w:rsidP="00A47AD5">
            <w:pPr>
              <w:jc w:val="both"/>
              <w:rPr>
                <w:color w:val="000000"/>
                <w:sz w:val="18"/>
                <w:szCs w:val="18"/>
              </w:rPr>
            </w:pPr>
          </w:p>
        </w:tc>
      </w:tr>
      <w:tr w:rsidR="00231A19" w14:paraId="3A99FFF6" w14:textId="77777777" w:rsidTr="007A316B">
        <w:trPr>
          <w:trHeight w:val="2761"/>
        </w:trPr>
        <w:tc>
          <w:tcPr>
            <w:tcW w:w="1813" w:type="dxa"/>
          </w:tcPr>
          <w:p w14:paraId="69D059ED" w14:textId="77777777" w:rsidR="00231A19" w:rsidRPr="00231A19" w:rsidRDefault="00231A19" w:rsidP="00A47AD5">
            <w:pPr>
              <w:rPr>
                <w:color w:val="000000"/>
                <w:lang w:val="pt-BR"/>
              </w:rPr>
            </w:pPr>
          </w:p>
          <w:p w14:paraId="6AAC0493" w14:textId="61432CBE" w:rsidR="00231A19" w:rsidRPr="00231A19" w:rsidRDefault="00231A19" w:rsidP="007A316B">
            <w:pPr>
              <w:jc w:val="center"/>
              <w:rPr>
                <w:color w:val="000000"/>
                <w:lang w:val="pt-BR"/>
              </w:rPr>
            </w:pPr>
            <w:r w:rsidRPr="00231A19">
              <w:rPr>
                <w:color w:val="000000"/>
                <w:lang w:val="pt-BR"/>
              </w:rPr>
              <w:t xml:space="preserve">Second author’s </w:t>
            </w:r>
            <w:r w:rsidR="00405202">
              <w:rPr>
                <w:noProof/>
              </w:rPr>
              <w:drawing>
                <wp:inline distT="0" distB="0" distL="0" distR="0" wp14:anchorId="4F3B8AC2" wp14:editId="03EF2B10">
                  <wp:extent cx="1079500" cy="1438275"/>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108" b="7272"/>
                          <a:stretch/>
                        </pic:blipFill>
                        <pic:spPr bwMode="auto">
                          <a:xfrm>
                            <a:off x="0" y="0"/>
                            <a:ext cx="1080000" cy="1438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26" w:type="dxa"/>
          </w:tcPr>
          <w:p w14:paraId="0A996A91" w14:textId="35F30BD9" w:rsidR="00A47AD5" w:rsidRPr="007A316B" w:rsidRDefault="00D57F12" w:rsidP="007A316B">
            <w:pPr>
              <w:jc w:val="both"/>
              <w:rPr>
                <w:color w:val="000000"/>
                <w:sz w:val="18"/>
                <w:szCs w:val="18"/>
              </w:rPr>
            </w:pPr>
            <w:r>
              <w:rPr>
                <w:color w:val="000000"/>
                <w:sz w:val="18"/>
                <w:szCs w:val="18"/>
              </w:rPr>
              <w:t xml:space="preserve">Dr. Muhammad </w:t>
            </w:r>
            <w:proofErr w:type="spellStart"/>
            <w:r>
              <w:rPr>
                <w:color w:val="000000"/>
                <w:sz w:val="18"/>
                <w:szCs w:val="18"/>
              </w:rPr>
              <w:t>Ramdhan</w:t>
            </w:r>
            <w:proofErr w:type="spellEnd"/>
            <w:r>
              <w:rPr>
                <w:color w:val="000000"/>
                <w:sz w:val="18"/>
                <w:szCs w:val="18"/>
              </w:rPr>
              <w:t xml:space="preserve"> </w:t>
            </w:r>
            <w:proofErr w:type="spellStart"/>
            <w:r>
              <w:rPr>
                <w:color w:val="000000"/>
                <w:sz w:val="18"/>
                <w:szCs w:val="18"/>
              </w:rPr>
              <w:t>Olii</w:t>
            </w:r>
            <w:proofErr w:type="spellEnd"/>
            <w:r>
              <w:rPr>
                <w:color w:val="000000"/>
                <w:sz w:val="18"/>
                <w:szCs w:val="18"/>
              </w:rPr>
              <w:t xml:space="preserve">, ST., </w:t>
            </w:r>
            <w:proofErr w:type="spellStart"/>
            <w:proofErr w:type="gramStart"/>
            <w:r>
              <w:rPr>
                <w:color w:val="000000"/>
                <w:sz w:val="18"/>
                <w:szCs w:val="18"/>
              </w:rPr>
              <w:t>M.Eng</w:t>
            </w:r>
            <w:proofErr w:type="spellEnd"/>
            <w:proofErr w:type="gramEnd"/>
            <w:r>
              <w:rPr>
                <w:color w:val="000000"/>
                <w:sz w:val="18"/>
                <w:szCs w:val="18"/>
              </w:rPr>
              <w:t xml:space="preserve"> </w:t>
            </w:r>
            <w:r w:rsidRPr="00D57F12">
              <w:rPr>
                <w:color w:val="000000"/>
                <w:sz w:val="18"/>
                <w:szCs w:val="18"/>
              </w:rPr>
              <w:t xml:space="preserve">earned his </w:t>
            </w:r>
            <w:r>
              <w:rPr>
                <w:color w:val="000000"/>
                <w:sz w:val="18"/>
                <w:szCs w:val="18"/>
              </w:rPr>
              <w:t>Doctoral</w:t>
            </w:r>
            <w:r w:rsidRPr="00D57F12">
              <w:rPr>
                <w:color w:val="000000"/>
                <w:sz w:val="18"/>
                <w:szCs w:val="18"/>
              </w:rPr>
              <w:t xml:space="preserve"> degree</w:t>
            </w:r>
            <w:r>
              <w:rPr>
                <w:color w:val="000000"/>
                <w:sz w:val="18"/>
                <w:szCs w:val="18"/>
              </w:rPr>
              <w:t xml:space="preserve"> in </w:t>
            </w:r>
            <w:r w:rsidRPr="00D57F12">
              <w:rPr>
                <w:color w:val="000000"/>
                <w:sz w:val="18"/>
                <w:szCs w:val="18"/>
              </w:rPr>
              <w:t>Civil Engineering Doctoral Program – Faculty of Engineering U</w:t>
            </w:r>
            <w:r>
              <w:rPr>
                <w:color w:val="000000"/>
                <w:sz w:val="18"/>
                <w:szCs w:val="18"/>
              </w:rPr>
              <w:t xml:space="preserve">niversitas Gadjah </w:t>
            </w:r>
            <w:proofErr w:type="spellStart"/>
            <w:r>
              <w:rPr>
                <w:color w:val="000000"/>
                <w:sz w:val="18"/>
                <w:szCs w:val="18"/>
              </w:rPr>
              <w:t>Mada</w:t>
            </w:r>
            <w:proofErr w:type="spellEnd"/>
            <w:r>
              <w:rPr>
                <w:color w:val="000000"/>
                <w:sz w:val="18"/>
                <w:szCs w:val="18"/>
              </w:rPr>
              <w:t xml:space="preserve"> Yogyakarta. </w:t>
            </w:r>
            <w:r w:rsidRPr="00D57F12">
              <w:rPr>
                <w:color w:val="000000"/>
                <w:sz w:val="18"/>
                <w:szCs w:val="18"/>
              </w:rPr>
              <w:t xml:space="preserve">His current research focuses on geographic information system in </w:t>
            </w:r>
            <w:r w:rsidR="007A316B" w:rsidRPr="007A316B">
              <w:rPr>
                <w:color w:val="000000"/>
                <w:sz w:val="18"/>
                <w:szCs w:val="18"/>
              </w:rPr>
              <w:t xml:space="preserve">hydrology engineering, water resource development, </w:t>
            </w:r>
            <w:r w:rsidR="007A316B">
              <w:rPr>
                <w:color w:val="000000"/>
                <w:sz w:val="18"/>
                <w:szCs w:val="18"/>
              </w:rPr>
              <w:t xml:space="preserve">disaster, </w:t>
            </w:r>
            <w:r w:rsidR="007A316B" w:rsidRPr="007A316B">
              <w:rPr>
                <w:color w:val="000000"/>
                <w:sz w:val="18"/>
                <w:szCs w:val="18"/>
              </w:rPr>
              <w:t xml:space="preserve">land conservation </w:t>
            </w:r>
            <w:r w:rsidR="0058293C">
              <w:rPr>
                <w:color w:val="000000"/>
                <w:sz w:val="18"/>
                <w:szCs w:val="18"/>
              </w:rPr>
              <w:t xml:space="preserve">and </w:t>
            </w:r>
            <w:r w:rsidR="0058293C" w:rsidRPr="0058293C">
              <w:rPr>
                <w:color w:val="000000"/>
                <w:sz w:val="18"/>
                <w:szCs w:val="18"/>
              </w:rPr>
              <w:t>environment</w:t>
            </w:r>
            <w:r>
              <w:rPr>
                <w:color w:val="000000"/>
                <w:sz w:val="18"/>
                <w:szCs w:val="18"/>
              </w:rPr>
              <w:t xml:space="preserve">. </w:t>
            </w:r>
            <w:r w:rsidRPr="00D57F12">
              <w:rPr>
                <w:color w:val="000000"/>
                <w:sz w:val="18"/>
                <w:szCs w:val="18"/>
              </w:rPr>
              <w:t xml:space="preserve">His team has received many awards </w:t>
            </w:r>
            <w:proofErr w:type="spellStart"/>
            <w:r w:rsidRPr="00D57F12">
              <w:rPr>
                <w:color w:val="000000"/>
                <w:sz w:val="18"/>
                <w:szCs w:val="18"/>
              </w:rPr>
              <w:t>recognising</w:t>
            </w:r>
            <w:proofErr w:type="spellEnd"/>
            <w:r w:rsidRPr="00D57F12">
              <w:rPr>
                <w:color w:val="000000"/>
                <w:sz w:val="18"/>
                <w:szCs w:val="18"/>
              </w:rPr>
              <w:t xml:space="preserve"> the excellence and innovation of the work:</w:t>
            </w:r>
            <w:r>
              <w:rPr>
                <w:color w:val="000000"/>
                <w:sz w:val="18"/>
                <w:szCs w:val="18"/>
              </w:rPr>
              <w:t xml:space="preserve">  1) </w:t>
            </w:r>
            <w:r w:rsidRPr="00D57F12">
              <w:rPr>
                <w:color w:val="000000"/>
                <w:sz w:val="18"/>
                <w:szCs w:val="18"/>
              </w:rPr>
              <w:t xml:space="preserve">Best </w:t>
            </w:r>
            <w:r>
              <w:rPr>
                <w:color w:val="000000"/>
                <w:sz w:val="18"/>
                <w:szCs w:val="18"/>
              </w:rPr>
              <w:t xml:space="preserve">presenter </w:t>
            </w:r>
            <w:r w:rsidRPr="00D57F12">
              <w:rPr>
                <w:color w:val="000000"/>
                <w:sz w:val="18"/>
                <w:szCs w:val="18"/>
              </w:rPr>
              <w:t>award</w:t>
            </w:r>
            <w:r>
              <w:rPr>
                <w:color w:val="000000"/>
                <w:sz w:val="18"/>
                <w:szCs w:val="18"/>
              </w:rPr>
              <w:t xml:space="preserve">, </w:t>
            </w:r>
            <w:r w:rsidR="00F83033">
              <w:rPr>
                <w:color w:val="000000"/>
                <w:sz w:val="18"/>
                <w:szCs w:val="18"/>
              </w:rPr>
              <w:t xml:space="preserve"> </w:t>
            </w:r>
            <w:r w:rsidR="00F83033" w:rsidRPr="00F83033">
              <w:rPr>
                <w:color w:val="000000"/>
                <w:sz w:val="18"/>
                <w:szCs w:val="18"/>
              </w:rPr>
              <w:t xml:space="preserve">National Seminar </w:t>
            </w:r>
            <w:r w:rsidR="00F83033">
              <w:rPr>
                <w:color w:val="000000"/>
                <w:sz w:val="18"/>
                <w:szCs w:val="18"/>
              </w:rPr>
              <w:t xml:space="preserve">in </w:t>
            </w:r>
            <w:proofErr w:type="spellStart"/>
            <w:r>
              <w:rPr>
                <w:color w:val="000000"/>
                <w:sz w:val="18"/>
                <w:szCs w:val="18"/>
              </w:rPr>
              <w:t>Institut</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Bandung, Bandung, 2015; 2) </w:t>
            </w:r>
            <w:r w:rsidRPr="00D57F12">
              <w:rPr>
                <w:color w:val="000000"/>
                <w:sz w:val="18"/>
                <w:szCs w:val="18"/>
              </w:rPr>
              <w:t xml:space="preserve">Best </w:t>
            </w:r>
            <w:r>
              <w:rPr>
                <w:color w:val="000000"/>
                <w:sz w:val="18"/>
                <w:szCs w:val="18"/>
              </w:rPr>
              <w:t xml:space="preserve">presenter </w:t>
            </w:r>
            <w:r w:rsidRPr="00D57F12">
              <w:rPr>
                <w:color w:val="000000"/>
                <w:sz w:val="18"/>
                <w:szCs w:val="18"/>
              </w:rPr>
              <w:t>award</w:t>
            </w:r>
            <w:r>
              <w:rPr>
                <w:color w:val="000000"/>
                <w:sz w:val="18"/>
                <w:szCs w:val="18"/>
              </w:rPr>
              <w:t xml:space="preserve">, </w:t>
            </w:r>
            <w:r w:rsidRPr="00D57F12">
              <w:rPr>
                <w:color w:val="000000"/>
                <w:sz w:val="18"/>
                <w:szCs w:val="18"/>
              </w:rPr>
              <w:t>Indonesian Association of Hydraulic Engineers</w:t>
            </w:r>
            <w:r w:rsidR="00F83033">
              <w:rPr>
                <w:color w:val="000000"/>
                <w:sz w:val="18"/>
                <w:szCs w:val="18"/>
              </w:rPr>
              <w:t xml:space="preserve"> Seminar </w:t>
            </w:r>
            <w:proofErr w:type="spellStart"/>
            <w:r w:rsidR="00F83033">
              <w:rPr>
                <w:color w:val="000000"/>
                <w:sz w:val="18"/>
                <w:szCs w:val="18"/>
              </w:rPr>
              <w:t>Internaional</w:t>
            </w:r>
            <w:proofErr w:type="spellEnd"/>
            <w:r>
              <w:rPr>
                <w:color w:val="000000"/>
                <w:sz w:val="18"/>
                <w:szCs w:val="18"/>
              </w:rPr>
              <w:t xml:space="preserve">, Bali, 2016; </w:t>
            </w:r>
            <w:r w:rsidR="007A316B">
              <w:rPr>
                <w:color w:val="000000"/>
                <w:sz w:val="18"/>
                <w:szCs w:val="18"/>
              </w:rPr>
              <w:t>3</w:t>
            </w:r>
            <w:r>
              <w:rPr>
                <w:color w:val="000000"/>
                <w:sz w:val="18"/>
                <w:szCs w:val="18"/>
              </w:rPr>
              <w:t xml:space="preserve">) </w:t>
            </w:r>
            <w:r w:rsidRPr="00D57F12">
              <w:rPr>
                <w:color w:val="000000"/>
                <w:sz w:val="18"/>
                <w:szCs w:val="18"/>
              </w:rPr>
              <w:t xml:space="preserve">Best </w:t>
            </w:r>
            <w:r>
              <w:rPr>
                <w:color w:val="000000"/>
                <w:sz w:val="18"/>
                <w:szCs w:val="18"/>
              </w:rPr>
              <w:t xml:space="preserve">presenter </w:t>
            </w:r>
            <w:r w:rsidRPr="00D57F12">
              <w:rPr>
                <w:color w:val="000000"/>
                <w:sz w:val="18"/>
                <w:szCs w:val="18"/>
              </w:rPr>
              <w:t>award</w:t>
            </w:r>
            <w:r>
              <w:rPr>
                <w:color w:val="000000"/>
                <w:sz w:val="18"/>
                <w:szCs w:val="18"/>
              </w:rPr>
              <w:t>,</w:t>
            </w:r>
            <w:r w:rsidR="00F83033">
              <w:rPr>
                <w:color w:val="000000"/>
                <w:sz w:val="18"/>
                <w:szCs w:val="18"/>
              </w:rPr>
              <w:t xml:space="preserve"> </w:t>
            </w:r>
            <w:r w:rsidR="00F83033" w:rsidRPr="00F83033">
              <w:rPr>
                <w:color w:val="000000"/>
                <w:sz w:val="18"/>
                <w:szCs w:val="18"/>
              </w:rPr>
              <w:t>National Seminar</w:t>
            </w:r>
            <w:r w:rsidR="00F83033">
              <w:rPr>
                <w:color w:val="000000"/>
                <w:sz w:val="18"/>
                <w:szCs w:val="18"/>
              </w:rPr>
              <w:t xml:space="preserve"> in</w:t>
            </w:r>
            <w:r>
              <w:rPr>
                <w:color w:val="000000"/>
                <w:sz w:val="18"/>
                <w:szCs w:val="18"/>
              </w:rPr>
              <w:t xml:space="preserve"> </w:t>
            </w:r>
            <w:proofErr w:type="spellStart"/>
            <w:r>
              <w:rPr>
                <w:color w:val="000000"/>
                <w:sz w:val="18"/>
                <w:szCs w:val="18"/>
              </w:rPr>
              <w:t>Institut</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Bandung, Bandung, 2017; </w:t>
            </w:r>
            <w:r w:rsidR="007A316B">
              <w:rPr>
                <w:color w:val="000000"/>
                <w:sz w:val="18"/>
                <w:szCs w:val="18"/>
              </w:rPr>
              <w:t xml:space="preserve">and 4) </w:t>
            </w:r>
            <w:r w:rsidRPr="00D57F12">
              <w:rPr>
                <w:color w:val="000000"/>
                <w:sz w:val="18"/>
                <w:szCs w:val="18"/>
              </w:rPr>
              <w:t xml:space="preserve">Best </w:t>
            </w:r>
            <w:r>
              <w:rPr>
                <w:color w:val="000000"/>
                <w:sz w:val="18"/>
                <w:szCs w:val="18"/>
              </w:rPr>
              <w:t xml:space="preserve">presenter </w:t>
            </w:r>
            <w:r w:rsidRPr="00D57F12">
              <w:rPr>
                <w:color w:val="000000"/>
                <w:sz w:val="18"/>
                <w:szCs w:val="18"/>
              </w:rPr>
              <w:t>award</w:t>
            </w:r>
            <w:r>
              <w:rPr>
                <w:color w:val="000000"/>
                <w:sz w:val="18"/>
                <w:szCs w:val="18"/>
              </w:rPr>
              <w:t xml:space="preserve">, </w:t>
            </w:r>
            <w:r w:rsidR="00F83033" w:rsidRPr="00F83033">
              <w:rPr>
                <w:color w:val="000000"/>
                <w:sz w:val="18"/>
                <w:szCs w:val="18"/>
              </w:rPr>
              <w:t>The 1st International Conference on Innovation in Science, Health, and Technology (ICISHT)</w:t>
            </w:r>
            <w:r w:rsidR="00F83033">
              <w:rPr>
                <w:color w:val="000000"/>
                <w:sz w:val="18"/>
                <w:szCs w:val="18"/>
              </w:rPr>
              <w:t>, Gorontalo, 2020.</w:t>
            </w:r>
            <w:r w:rsidR="0058293C">
              <w:rPr>
                <w:color w:val="000000"/>
                <w:sz w:val="18"/>
                <w:szCs w:val="18"/>
              </w:rPr>
              <w:t xml:space="preserve"> </w:t>
            </w:r>
            <w:r w:rsidR="0058293C" w:rsidRPr="00D57F12">
              <w:rPr>
                <w:color w:val="000000"/>
                <w:sz w:val="18"/>
                <w:szCs w:val="18"/>
              </w:rPr>
              <w:t>His team has received</w:t>
            </w:r>
            <w:r w:rsidR="0058293C">
              <w:rPr>
                <w:color w:val="000000"/>
                <w:sz w:val="18"/>
                <w:szCs w:val="18"/>
              </w:rPr>
              <w:t xml:space="preserve"> several </w:t>
            </w:r>
            <w:r w:rsidR="0058293C" w:rsidRPr="0058293C">
              <w:rPr>
                <w:color w:val="000000"/>
                <w:sz w:val="18"/>
                <w:szCs w:val="18"/>
              </w:rPr>
              <w:t>research</w:t>
            </w:r>
            <w:r w:rsidR="00D16CC0">
              <w:rPr>
                <w:color w:val="000000"/>
                <w:sz w:val="18"/>
                <w:szCs w:val="18"/>
              </w:rPr>
              <w:t xml:space="preserve"> </w:t>
            </w:r>
            <w:proofErr w:type="gramStart"/>
            <w:r w:rsidR="0058293C" w:rsidRPr="0058293C">
              <w:rPr>
                <w:color w:val="000000"/>
                <w:sz w:val="18"/>
                <w:szCs w:val="18"/>
              </w:rPr>
              <w:t>grant</w:t>
            </w:r>
            <w:proofErr w:type="gramEnd"/>
            <w:r w:rsidR="0058293C">
              <w:rPr>
                <w:color w:val="000000"/>
                <w:sz w:val="18"/>
                <w:szCs w:val="18"/>
              </w:rPr>
              <w:t xml:space="preserve"> from </w:t>
            </w:r>
            <w:r w:rsidR="0058293C" w:rsidRPr="005E17F2">
              <w:t>the Ministry of Research and Higher Education of the Republic of Indonesia</w:t>
            </w:r>
            <w:r w:rsidR="0058293C">
              <w:t xml:space="preserve">: </w:t>
            </w:r>
            <w:r w:rsidR="007A316B" w:rsidRPr="007A316B">
              <w:t>Doctoral Research Grant</w:t>
            </w:r>
            <w:r w:rsidR="007A316B">
              <w:t xml:space="preserve">, 2016; </w:t>
            </w:r>
            <w:r w:rsidR="007A316B" w:rsidRPr="007A316B">
              <w:t>Novice Lecturer Research Grant</w:t>
            </w:r>
            <w:r w:rsidR="007A316B">
              <w:t>, 2018, Research Quality Improvement and Publications of Lecturers, 2018 &amp; 2019; and</w:t>
            </w:r>
            <w:r w:rsidR="007A316B" w:rsidRPr="007A316B">
              <w:t xml:space="preserve"> College Excellence Basic Research</w:t>
            </w:r>
            <w:r w:rsidR="007A316B">
              <w:t xml:space="preserve"> G</w:t>
            </w:r>
            <w:r w:rsidR="007A316B" w:rsidRPr="007A316B">
              <w:t>rant</w:t>
            </w:r>
            <w:r w:rsidR="007A316B">
              <w:t>, 2019-2020.</w:t>
            </w:r>
          </w:p>
        </w:tc>
      </w:tr>
      <w:tr w:rsidR="00A47AD5" w14:paraId="3AD87F25" w14:textId="77777777" w:rsidTr="00F33C08">
        <w:tc>
          <w:tcPr>
            <w:tcW w:w="1813" w:type="dxa"/>
          </w:tcPr>
          <w:p w14:paraId="40FD5E8D" w14:textId="77777777" w:rsidR="00A47AD5" w:rsidRPr="00231A19" w:rsidRDefault="00A47AD5" w:rsidP="00A47AD5">
            <w:pPr>
              <w:rPr>
                <w:color w:val="000000"/>
                <w:lang w:val="pt-BR"/>
              </w:rPr>
            </w:pPr>
          </w:p>
        </w:tc>
        <w:tc>
          <w:tcPr>
            <w:tcW w:w="7226" w:type="dxa"/>
          </w:tcPr>
          <w:p w14:paraId="53212D6D" w14:textId="77777777" w:rsidR="00A47AD5" w:rsidRPr="00231A19" w:rsidRDefault="00A47AD5" w:rsidP="00A47AD5">
            <w:pPr>
              <w:jc w:val="both"/>
              <w:rPr>
                <w:color w:val="000000"/>
                <w:sz w:val="18"/>
                <w:szCs w:val="18"/>
              </w:rPr>
            </w:pPr>
          </w:p>
        </w:tc>
      </w:tr>
      <w:tr w:rsidR="00231A19" w14:paraId="558F427E" w14:textId="77777777" w:rsidTr="00F33C08">
        <w:tc>
          <w:tcPr>
            <w:tcW w:w="1813" w:type="dxa"/>
          </w:tcPr>
          <w:p w14:paraId="1E929266" w14:textId="6A911852" w:rsidR="00231A19" w:rsidRPr="00231A19" w:rsidRDefault="0050786B" w:rsidP="00A47AD5">
            <w:pPr>
              <w:rPr>
                <w:color w:val="000000"/>
                <w:lang w:val="pt-BR"/>
              </w:rPr>
            </w:pPr>
            <w:r>
              <w:rPr>
                <w:color w:val="000000"/>
                <w:lang w:val="pt-BR"/>
              </w:rPr>
              <w:t xml:space="preserve">Third </w:t>
            </w:r>
            <w:r w:rsidR="006F28C7">
              <w:rPr>
                <w:color w:val="000000"/>
                <w:lang w:val="pt-BR"/>
              </w:rPr>
              <w:t>author’s</w:t>
            </w:r>
          </w:p>
          <w:p w14:paraId="42588CA5" w14:textId="0D91B9CE" w:rsidR="00231A19" w:rsidRPr="00231A19" w:rsidRDefault="00217374" w:rsidP="00217374">
            <w:pPr>
              <w:jc w:val="center"/>
              <w:rPr>
                <w:color w:val="000000"/>
                <w:lang w:val="pt-BR"/>
              </w:rPr>
            </w:pPr>
            <w:r>
              <w:rPr>
                <w:noProof/>
              </w:rPr>
              <w:drawing>
                <wp:inline distT="0" distB="0" distL="0" distR="0" wp14:anchorId="46B46E88" wp14:editId="172BFCE6">
                  <wp:extent cx="1014095" cy="15214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4095" cy="1521460"/>
                          </a:xfrm>
                          <a:prstGeom prst="rect">
                            <a:avLst/>
                          </a:prstGeom>
                          <a:noFill/>
                          <a:ln>
                            <a:noFill/>
                          </a:ln>
                        </pic:spPr>
                      </pic:pic>
                    </a:graphicData>
                  </a:graphic>
                </wp:inline>
              </w:drawing>
            </w:r>
          </w:p>
          <w:p w14:paraId="5A187061" w14:textId="77777777" w:rsidR="00231A19" w:rsidRPr="00231A19" w:rsidRDefault="00231A19" w:rsidP="00A47AD5">
            <w:pPr>
              <w:jc w:val="center"/>
              <w:rPr>
                <w:color w:val="000000"/>
                <w:lang w:val="pt-BR"/>
              </w:rPr>
            </w:pPr>
          </w:p>
        </w:tc>
        <w:tc>
          <w:tcPr>
            <w:tcW w:w="7226" w:type="dxa"/>
          </w:tcPr>
          <w:p w14:paraId="769C1C4A" w14:textId="2DA9A661" w:rsidR="00231A19" w:rsidRPr="00231A19" w:rsidRDefault="00217374" w:rsidP="00A47AD5">
            <w:pPr>
              <w:jc w:val="both"/>
              <w:rPr>
                <w:color w:val="000000"/>
                <w:sz w:val="18"/>
                <w:szCs w:val="18"/>
              </w:rPr>
            </w:pPr>
            <w:proofErr w:type="spellStart"/>
            <w:r>
              <w:rPr>
                <w:color w:val="000000"/>
                <w:sz w:val="18"/>
                <w:szCs w:val="18"/>
              </w:rPr>
              <w:t>Yanti</w:t>
            </w:r>
            <w:proofErr w:type="spellEnd"/>
            <w:r>
              <w:rPr>
                <w:color w:val="000000"/>
                <w:sz w:val="18"/>
                <w:szCs w:val="18"/>
              </w:rPr>
              <w:t xml:space="preserve"> Hz. </w:t>
            </w:r>
            <w:proofErr w:type="spellStart"/>
            <w:r>
              <w:rPr>
                <w:color w:val="000000"/>
                <w:sz w:val="18"/>
                <w:szCs w:val="18"/>
              </w:rPr>
              <w:t>Hano</w:t>
            </w:r>
            <w:proofErr w:type="spellEnd"/>
            <w:r>
              <w:rPr>
                <w:color w:val="000000"/>
                <w:sz w:val="18"/>
                <w:szCs w:val="18"/>
              </w:rPr>
              <w:t xml:space="preserve">, SKM, </w:t>
            </w:r>
            <w:proofErr w:type="spellStart"/>
            <w:proofErr w:type="gramStart"/>
            <w:r>
              <w:rPr>
                <w:color w:val="000000"/>
                <w:sz w:val="18"/>
                <w:szCs w:val="18"/>
              </w:rPr>
              <w:t>M.Kes</w:t>
            </w:r>
            <w:proofErr w:type="spellEnd"/>
            <w:proofErr w:type="gramEnd"/>
            <w:r>
              <w:rPr>
                <w:color w:val="000000"/>
                <w:sz w:val="18"/>
                <w:szCs w:val="18"/>
              </w:rPr>
              <w:t xml:space="preserve"> earned her magister degree in Public Health Faculty in Universitas </w:t>
            </w:r>
            <w:proofErr w:type="spellStart"/>
            <w:r>
              <w:rPr>
                <w:color w:val="000000"/>
                <w:sz w:val="18"/>
                <w:szCs w:val="18"/>
              </w:rPr>
              <w:t>Samratulangi</w:t>
            </w:r>
            <w:proofErr w:type="spellEnd"/>
            <w:r>
              <w:rPr>
                <w:color w:val="000000"/>
                <w:sz w:val="18"/>
                <w:szCs w:val="18"/>
              </w:rPr>
              <w:t xml:space="preserve"> Manado. Her Current research focus on </w:t>
            </w:r>
            <w:r w:rsidR="006F28C7">
              <w:rPr>
                <w:color w:val="000000"/>
                <w:sz w:val="18"/>
                <w:szCs w:val="18"/>
              </w:rPr>
              <w:t>p</w:t>
            </w:r>
            <w:r>
              <w:rPr>
                <w:color w:val="000000"/>
                <w:sz w:val="18"/>
                <w:szCs w:val="18"/>
              </w:rPr>
              <w:t>ublic health administration</w:t>
            </w:r>
            <w:r w:rsidR="006F28C7">
              <w:rPr>
                <w:color w:val="000000"/>
                <w:sz w:val="18"/>
                <w:szCs w:val="18"/>
              </w:rPr>
              <w:t xml:space="preserve">. </w:t>
            </w:r>
            <w:r w:rsidR="006F28C7" w:rsidRPr="006F28C7">
              <w:rPr>
                <w:color w:val="000000"/>
                <w:sz w:val="18"/>
                <w:szCs w:val="18"/>
              </w:rPr>
              <w:t xml:space="preserve">Evaluation </w:t>
            </w:r>
            <w:r w:rsidR="006F28C7">
              <w:rPr>
                <w:color w:val="000000"/>
                <w:sz w:val="18"/>
                <w:szCs w:val="18"/>
              </w:rPr>
              <w:t>o</w:t>
            </w:r>
            <w:r w:rsidR="006F28C7" w:rsidRPr="006F28C7">
              <w:rPr>
                <w:color w:val="000000"/>
                <w:sz w:val="18"/>
                <w:szCs w:val="18"/>
              </w:rPr>
              <w:t xml:space="preserve">f The Implementation </w:t>
            </w:r>
            <w:r w:rsidR="006F28C7">
              <w:rPr>
                <w:color w:val="000000"/>
                <w:sz w:val="18"/>
                <w:szCs w:val="18"/>
              </w:rPr>
              <w:t>o</w:t>
            </w:r>
            <w:r w:rsidR="006F28C7" w:rsidRPr="006F28C7">
              <w:rPr>
                <w:color w:val="000000"/>
                <w:sz w:val="18"/>
                <w:szCs w:val="18"/>
              </w:rPr>
              <w:t xml:space="preserve">f The Elderly </w:t>
            </w:r>
            <w:proofErr w:type="spellStart"/>
            <w:r w:rsidR="006F28C7" w:rsidRPr="006F28C7">
              <w:rPr>
                <w:color w:val="000000"/>
                <w:sz w:val="18"/>
                <w:szCs w:val="18"/>
              </w:rPr>
              <w:t>Posyandu</w:t>
            </w:r>
            <w:proofErr w:type="spellEnd"/>
            <w:r w:rsidR="006F28C7" w:rsidRPr="006F28C7">
              <w:rPr>
                <w:color w:val="000000"/>
                <w:sz w:val="18"/>
                <w:szCs w:val="18"/>
              </w:rPr>
              <w:t xml:space="preserve"> Program </w:t>
            </w:r>
            <w:r w:rsidR="0078520C">
              <w:rPr>
                <w:color w:val="000000"/>
                <w:sz w:val="18"/>
                <w:szCs w:val="18"/>
              </w:rPr>
              <w:t>i</w:t>
            </w:r>
            <w:r w:rsidR="006F28C7" w:rsidRPr="006F28C7">
              <w:rPr>
                <w:color w:val="000000"/>
                <w:sz w:val="18"/>
                <w:szCs w:val="18"/>
              </w:rPr>
              <w:t xml:space="preserve">n </w:t>
            </w:r>
            <w:r w:rsidR="0078520C">
              <w:rPr>
                <w:color w:val="000000"/>
                <w:sz w:val="18"/>
                <w:szCs w:val="18"/>
              </w:rPr>
              <w:t>t</w:t>
            </w:r>
            <w:r w:rsidR="006F28C7" w:rsidRPr="006F28C7">
              <w:rPr>
                <w:color w:val="000000"/>
                <w:sz w:val="18"/>
                <w:szCs w:val="18"/>
              </w:rPr>
              <w:t xml:space="preserve">he </w:t>
            </w:r>
            <w:r w:rsidR="006F28C7">
              <w:rPr>
                <w:color w:val="000000"/>
                <w:sz w:val="18"/>
                <w:szCs w:val="18"/>
              </w:rPr>
              <w:t>w</w:t>
            </w:r>
            <w:r w:rsidR="006F28C7" w:rsidRPr="006F28C7">
              <w:rPr>
                <w:color w:val="000000"/>
                <w:sz w:val="18"/>
                <w:szCs w:val="18"/>
              </w:rPr>
              <w:t xml:space="preserve">ork </w:t>
            </w:r>
            <w:r w:rsidR="006F28C7">
              <w:rPr>
                <w:color w:val="000000"/>
                <w:sz w:val="18"/>
                <w:szCs w:val="18"/>
              </w:rPr>
              <w:t>a</w:t>
            </w:r>
            <w:r w:rsidR="006F28C7" w:rsidRPr="006F28C7">
              <w:rPr>
                <w:color w:val="000000"/>
                <w:sz w:val="18"/>
                <w:szCs w:val="18"/>
              </w:rPr>
              <w:t xml:space="preserve">rea </w:t>
            </w:r>
            <w:r w:rsidR="006F28C7">
              <w:rPr>
                <w:color w:val="000000"/>
                <w:sz w:val="18"/>
                <w:szCs w:val="18"/>
              </w:rPr>
              <w:t>o</w:t>
            </w:r>
            <w:r w:rsidR="006F28C7" w:rsidRPr="006F28C7">
              <w:rPr>
                <w:color w:val="000000"/>
                <w:sz w:val="18"/>
                <w:szCs w:val="18"/>
              </w:rPr>
              <w:t xml:space="preserve">f The </w:t>
            </w:r>
            <w:proofErr w:type="spellStart"/>
            <w:r w:rsidR="006F28C7" w:rsidRPr="006F28C7">
              <w:rPr>
                <w:color w:val="000000"/>
                <w:sz w:val="18"/>
                <w:szCs w:val="18"/>
              </w:rPr>
              <w:t>Bongomeme</w:t>
            </w:r>
            <w:proofErr w:type="spellEnd"/>
            <w:r w:rsidR="006F28C7" w:rsidRPr="006F28C7">
              <w:rPr>
                <w:color w:val="000000"/>
                <w:sz w:val="18"/>
                <w:szCs w:val="18"/>
              </w:rPr>
              <w:t xml:space="preserve"> </w:t>
            </w:r>
            <w:r w:rsidR="006F28C7">
              <w:rPr>
                <w:color w:val="000000"/>
                <w:sz w:val="18"/>
                <w:szCs w:val="18"/>
              </w:rPr>
              <w:t>Health Center</w:t>
            </w:r>
            <w:r w:rsidR="006F28C7" w:rsidRPr="006F28C7">
              <w:rPr>
                <w:color w:val="000000"/>
                <w:sz w:val="18"/>
                <w:szCs w:val="18"/>
              </w:rPr>
              <w:t>, Gorontalo Regency</w:t>
            </w:r>
            <w:r w:rsidR="006F28C7">
              <w:rPr>
                <w:color w:val="000000"/>
                <w:sz w:val="18"/>
                <w:szCs w:val="18"/>
              </w:rPr>
              <w:t>.</w:t>
            </w:r>
          </w:p>
          <w:p w14:paraId="5DF64807" w14:textId="77777777" w:rsidR="00F33C08" w:rsidRPr="00231A19" w:rsidRDefault="00F33C08" w:rsidP="00A47AD5">
            <w:pPr>
              <w:rPr>
                <w:color w:val="000000"/>
                <w:lang w:val="pt-BR"/>
              </w:rPr>
            </w:pPr>
          </w:p>
          <w:p w14:paraId="4C362C34" w14:textId="77777777" w:rsidR="00F33C08" w:rsidRDefault="00F33C08" w:rsidP="00A47AD5">
            <w:pPr>
              <w:rPr>
                <w:color w:val="000000"/>
                <w:lang w:val="pt-BR"/>
              </w:rPr>
            </w:pPr>
          </w:p>
          <w:p w14:paraId="554AA3CD" w14:textId="77777777" w:rsidR="00A47AD5" w:rsidRDefault="00A47AD5" w:rsidP="00A47AD5">
            <w:pPr>
              <w:rPr>
                <w:color w:val="000000"/>
                <w:lang w:val="pt-BR"/>
              </w:rPr>
            </w:pPr>
          </w:p>
          <w:p w14:paraId="2B7AD24E" w14:textId="77777777" w:rsidR="00A47AD5" w:rsidRPr="00231A19" w:rsidRDefault="00A47AD5" w:rsidP="00A47AD5">
            <w:pPr>
              <w:rPr>
                <w:color w:val="000000"/>
                <w:lang w:val="pt-BR"/>
              </w:rPr>
            </w:pPr>
          </w:p>
          <w:p w14:paraId="21E2C438" w14:textId="77777777" w:rsidR="00F33C08" w:rsidRPr="00231A19" w:rsidRDefault="00F33C08" w:rsidP="00A47AD5">
            <w:pPr>
              <w:rPr>
                <w:color w:val="000000"/>
                <w:lang w:val="pt-BR"/>
              </w:rPr>
            </w:pPr>
          </w:p>
          <w:p w14:paraId="138E4F92" w14:textId="77777777" w:rsidR="00231A19" w:rsidRPr="00231A19" w:rsidRDefault="00231A19" w:rsidP="00A47AD5">
            <w:pPr>
              <w:rPr>
                <w:color w:val="000000"/>
                <w:lang w:val="pt-BR"/>
              </w:rPr>
            </w:pPr>
          </w:p>
        </w:tc>
      </w:tr>
    </w:tbl>
    <w:p w14:paraId="73F6CD49" w14:textId="77777777" w:rsidR="00231A19" w:rsidRDefault="00231A19" w:rsidP="00231A19">
      <w:pPr>
        <w:jc w:val="both"/>
        <w:rPr>
          <w:color w:val="000000"/>
          <w:sz w:val="18"/>
          <w:szCs w:val="18"/>
        </w:rPr>
      </w:pPr>
    </w:p>
    <w:sectPr w:rsidR="00231A19" w:rsidSect="0085352C">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0D340" w14:textId="77777777" w:rsidR="00B5541C" w:rsidRDefault="00B5541C">
      <w:r>
        <w:separator/>
      </w:r>
    </w:p>
  </w:endnote>
  <w:endnote w:type="continuationSeparator" w:id="0">
    <w:p w14:paraId="6B8F86F4" w14:textId="77777777" w:rsidR="00B5541C" w:rsidRDefault="00B5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o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7B96" w14:textId="77777777" w:rsidR="00097958" w:rsidRPr="003D5B84" w:rsidRDefault="00050148" w:rsidP="00C07BEF">
    <w:pPr>
      <w:pStyle w:val="Header"/>
      <w:tabs>
        <w:tab w:val="clear" w:pos="4320"/>
        <w:tab w:val="clear" w:pos="8640"/>
        <w:tab w:val="left" w:pos="2992"/>
      </w:tabs>
      <w:spacing w:before="240"/>
    </w:pPr>
    <w:r>
      <w:rPr>
        <w:noProof/>
        <w:lang w:val="en-AU" w:eastAsia="en-AU"/>
      </w:rPr>
      <mc:AlternateContent>
        <mc:Choice Requires="wps">
          <w:drawing>
            <wp:anchor distT="0" distB="0" distL="114300" distR="114300" simplePos="0" relativeHeight="251659264" behindDoc="0" locked="0" layoutInCell="1" allowOverlap="1" wp14:anchorId="73E5CD6C" wp14:editId="5206A956">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E2D76"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164D27" w:rsidRPr="00164D27">
      <w:t xml:space="preserve"> </w:t>
    </w:r>
    <w:r w:rsidR="00C2651C">
      <w:rPr>
        <w:noProof/>
      </w:rPr>
      <w:t>Int</w:t>
    </w:r>
    <w:r w:rsidR="007E6842">
      <w:rPr>
        <w:noProof/>
      </w:rPr>
      <w:t>.</w:t>
    </w:r>
    <w:r w:rsidR="00C2651C">
      <w:rPr>
        <w:noProof/>
      </w:rPr>
      <w:t xml:space="preserve"> J</w:t>
    </w:r>
    <w:r w:rsidR="007E6842">
      <w:rPr>
        <w:noProof/>
      </w:rPr>
      <w:t>.</w:t>
    </w:r>
    <w:r w:rsidR="00C2651C">
      <w:rPr>
        <w:noProof/>
      </w:rPr>
      <w:t xml:space="preserve"> Public Health Sci,</w:t>
    </w:r>
    <w:r w:rsidR="00164D27" w:rsidRPr="00164D27">
      <w:rPr>
        <w:noProof/>
      </w:rPr>
      <w:t xml:space="preserve"> Vol. x, No. x, March 20</w:t>
    </w:r>
    <w:r w:rsidR="00BD6CF8">
      <w:rPr>
        <w:noProof/>
      </w:rPr>
      <w:t>2</w:t>
    </w:r>
    <w:r w:rsidR="00513610">
      <w:rPr>
        <w:noProof/>
      </w:rPr>
      <w:t>0</w:t>
    </w:r>
    <w:r w:rsidR="00164D27"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C7CF"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0A87" w14:textId="77777777" w:rsidR="00097958" w:rsidRPr="00164D27" w:rsidRDefault="00164D27" w:rsidP="00C07BEF">
    <w:pPr>
      <w:pStyle w:val="Footer"/>
      <w:pBdr>
        <w:top w:val="single" w:sz="4" w:space="1" w:color="auto"/>
      </w:pBdr>
      <w:spacing w:before="240"/>
      <w:rPr>
        <w:i/>
        <w:szCs w:val="18"/>
      </w:rPr>
    </w:pPr>
    <w:r w:rsidRPr="00164D27">
      <w:rPr>
        <w:i/>
        <w:szCs w:val="18"/>
      </w:rPr>
      <w:t xml:space="preserve">Journal homepage: </w:t>
    </w:r>
    <w:r w:rsidR="008B0265" w:rsidRPr="006E0B0C">
      <w:rPr>
        <w:i/>
        <w:lang w:val="id-ID"/>
      </w:rPr>
      <w:t>http://ijphs.iaescore.com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BB9EC" w14:textId="77777777" w:rsidR="00B5541C" w:rsidRDefault="00B5541C">
      <w:r>
        <w:separator/>
      </w:r>
    </w:p>
  </w:footnote>
  <w:footnote w:type="continuationSeparator" w:id="0">
    <w:p w14:paraId="3B3522BB" w14:textId="77777777" w:rsidR="00B5541C" w:rsidRDefault="00B55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922A"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102</w:t>
    </w:r>
    <w:r w:rsidRPr="003D5B84">
      <w:rPr>
        <w:rStyle w:val="PageNumber"/>
      </w:rPr>
      <w:fldChar w:fldCharType="end"/>
    </w:r>
  </w:p>
  <w:p w14:paraId="7CFA36BC"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en-AU" w:eastAsia="en-AU"/>
      </w:rPr>
      <mc:AlternateContent>
        <mc:Choice Requires="wps">
          <w:drawing>
            <wp:anchor distT="0" distB="0" distL="114300" distR="114300" simplePos="0" relativeHeight="251658240" behindDoc="0" locked="0" layoutInCell="1" allowOverlap="1" wp14:anchorId="2FECC6C7" wp14:editId="29927D83">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AB0E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164D27"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0D4C"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103</w:t>
    </w:r>
    <w:r w:rsidRPr="003D5B84">
      <w:rPr>
        <w:rStyle w:val="PageNumber"/>
      </w:rPr>
      <w:fldChar w:fldCharType="end"/>
    </w:r>
  </w:p>
  <w:p w14:paraId="7827ED87" w14:textId="77777777" w:rsidR="00097958" w:rsidRPr="003D5B84" w:rsidRDefault="00513610" w:rsidP="00C07BEF">
    <w:pPr>
      <w:pStyle w:val="Header"/>
      <w:pBdr>
        <w:bottom w:val="single" w:sz="4" w:space="1" w:color="auto"/>
      </w:pBdr>
      <w:tabs>
        <w:tab w:val="clear" w:pos="4320"/>
        <w:tab w:val="clear" w:pos="8640"/>
        <w:tab w:val="left" w:pos="0"/>
        <w:tab w:val="center" w:pos="4301"/>
        <w:tab w:val="left" w:pos="7938"/>
      </w:tabs>
    </w:pPr>
    <w:r>
      <w:rPr>
        <w:noProof/>
      </w:rPr>
      <w:t>Int</w:t>
    </w:r>
    <w:r w:rsidR="007E6842">
      <w:rPr>
        <w:noProof/>
      </w:rPr>
      <w:t>.</w:t>
    </w:r>
    <w:r>
      <w:rPr>
        <w:noProof/>
      </w:rPr>
      <w:t xml:space="preserve"> J</w:t>
    </w:r>
    <w:r w:rsidR="007E6842">
      <w:rPr>
        <w:noProof/>
      </w:rPr>
      <w:t>.</w:t>
    </w:r>
    <w:r>
      <w:rPr>
        <w:noProof/>
      </w:rPr>
      <w:t xml:space="preserve"> Public Health Sci</w:t>
    </w:r>
    <w:r w:rsidR="00097958" w:rsidRPr="003D5B84">
      <w:tab/>
    </w:r>
    <w:r w:rsidR="00164D27" w:rsidRPr="00164D27">
      <w:t>ISSN: 2252-8806</w:t>
    </w:r>
    <w:r w:rsidR="00EF1185" w:rsidRPr="003D5B84">
      <w:tab/>
    </w:r>
    <w:r w:rsidR="00C854C1">
      <w:sym w:font="Wingdings" w:char="F072"/>
    </w:r>
  </w:p>
  <w:p w14:paraId="2ED05AD7"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C2E6" w14:textId="77777777" w:rsidR="00164D27" w:rsidRPr="003D5B84" w:rsidRDefault="00164D27" w:rsidP="00164D2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14:paraId="79FEB8F5" w14:textId="01BA4368" w:rsidR="00164D27" w:rsidRPr="003D5B84" w:rsidRDefault="00164D27" w:rsidP="00164D27">
    <w:pPr>
      <w:pStyle w:val="Header"/>
      <w:tabs>
        <w:tab w:val="clear" w:pos="4320"/>
        <w:tab w:val="clear" w:pos="8640"/>
      </w:tabs>
      <w:ind w:right="45"/>
    </w:pPr>
    <w:r w:rsidRPr="003D5B84">
      <w:t>Vol.</w:t>
    </w:r>
    <w:r>
      <w:t xml:space="preserve"> x</w:t>
    </w:r>
    <w:r w:rsidRPr="003D5B84">
      <w:t>, No.</w:t>
    </w:r>
    <w:r w:rsidR="00C94EDA">
      <w:t xml:space="preserve"> x, March 202</w:t>
    </w:r>
    <w:r w:rsidR="00C321E6">
      <w:t>1</w:t>
    </w:r>
    <w:r w:rsidRPr="003D5B84">
      <w:t xml:space="preserve">, pp. </w:t>
    </w:r>
    <w:proofErr w:type="spellStart"/>
    <w:r w:rsidRPr="003D5B84">
      <w:t>xx~xx</w:t>
    </w:r>
    <w:proofErr w:type="spellEnd"/>
  </w:p>
  <w:p w14:paraId="3C0A932E" w14:textId="77777777" w:rsidR="00097958" w:rsidRPr="003D5B84" w:rsidRDefault="00164D27" w:rsidP="00164D27">
    <w:pPr>
      <w:pStyle w:val="Header"/>
      <w:tabs>
        <w:tab w:val="clear" w:pos="4320"/>
        <w:tab w:val="clear" w:pos="8640"/>
        <w:tab w:val="left" w:pos="7938"/>
        <w:tab w:val="right" w:pos="8789"/>
      </w:tabs>
      <w:rPr>
        <w:rStyle w:val="PageNumber"/>
      </w:rPr>
    </w:pPr>
    <w:r>
      <w:t>ISSN: 2252-8806,</w:t>
    </w:r>
    <w:r w:rsidRPr="00510EA6">
      <w:t xml:space="preserve"> </w:t>
    </w:r>
    <w:r>
      <w:t>DOI: 10.11591/ijphs.vxix.</w:t>
    </w:r>
    <w:r w:rsidR="0073769F">
      <w:t>id</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7E6842">
      <w:rPr>
        <w:rStyle w:val="PageNumber"/>
        <w:noProof/>
      </w:rPr>
      <w:t>101</w:t>
    </w:r>
    <w:r w:rsidR="00C3666D" w:rsidRPr="003D5B84">
      <w:rPr>
        <w:rStyle w:val="PageNumber"/>
      </w:rPr>
      <w:fldChar w:fldCharType="end"/>
    </w:r>
  </w:p>
  <w:p w14:paraId="7CBD0F11" w14:textId="77777777" w:rsidR="00097958" w:rsidRPr="003D5B84" w:rsidRDefault="00050148" w:rsidP="008B04B3">
    <w:pPr>
      <w:pStyle w:val="Header"/>
      <w:tabs>
        <w:tab w:val="clear" w:pos="4320"/>
        <w:tab w:val="clear" w:pos="8640"/>
      </w:tabs>
      <w:ind w:right="45"/>
      <w:jc w:val="right"/>
      <w:rPr>
        <w:rStyle w:val="PageNumber"/>
      </w:rPr>
    </w:pPr>
    <w:r>
      <w:rPr>
        <w:noProof/>
        <w:lang w:val="en-AU" w:eastAsia="en-AU"/>
      </w:rPr>
      <mc:AlternateContent>
        <mc:Choice Requires="wps">
          <w:drawing>
            <wp:anchor distT="0" distB="0" distL="114300" distR="114300" simplePos="0" relativeHeight="251656192" behindDoc="0" locked="0" layoutInCell="1" allowOverlap="1" wp14:anchorId="649B20E1" wp14:editId="2E49535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F4DF08"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c0MzS2tLQwMzC2MLFU0lEKTi0uzszPAykwqgUAAMHB1SwAAAA="/>
  </w:docVars>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34E1"/>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4D27"/>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798"/>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17374"/>
    <w:rsid w:val="00220914"/>
    <w:rsid w:val="00221D61"/>
    <w:rsid w:val="00221FB3"/>
    <w:rsid w:val="002224C4"/>
    <w:rsid w:val="00223BDA"/>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87063"/>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2BB2"/>
    <w:rsid w:val="003B3120"/>
    <w:rsid w:val="003B3537"/>
    <w:rsid w:val="003B567E"/>
    <w:rsid w:val="003B6932"/>
    <w:rsid w:val="003B79EB"/>
    <w:rsid w:val="003B7ED0"/>
    <w:rsid w:val="003C0D91"/>
    <w:rsid w:val="003C13AD"/>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3F66"/>
    <w:rsid w:val="003F4897"/>
    <w:rsid w:val="003F5148"/>
    <w:rsid w:val="003F6587"/>
    <w:rsid w:val="00402C7D"/>
    <w:rsid w:val="00403A74"/>
    <w:rsid w:val="00405202"/>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39E4"/>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07F4"/>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B21"/>
    <w:rsid w:val="00505F41"/>
    <w:rsid w:val="0050786B"/>
    <w:rsid w:val="0050794C"/>
    <w:rsid w:val="0051075B"/>
    <w:rsid w:val="00511236"/>
    <w:rsid w:val="00511539"/>
    <w:rsid w:val="00512DE0"/>
    <w:rsid w:val="00513610"/>
    <w:rsid w:val="0051361F"/>
    <w:rsid w:val="00515455"/>
    <w:rsid w:val="005160A8"/>
    <w:rsid w:val="00516317"/>
    <w:rsid w:val="005174FF"/>
    <w:rsid w:val="00520EC3"/>
    <w:rsid w:val="0052138C"/>
    <w:rsid w:val="005213A1"/>
    <w:rsid w:val="00521EC1"/>
    <w:rsid w:val="00522A3A"/>
    <w:rsid w:val="00523362"/>
    <w:rsid w:val="00523B26"/>
    <w:rsid w:val="0052442F"/>
    <w:rsid w:val="00526CFA"/>
    <w:rsid w:val="00530415"/>
    <w:rsid w:val="00530CAF"/>
    <w:rsid w:val="0053172B"/>
    <w:rsid w:val="00532941"/>
    <w:rsid w:val="00534655"/>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293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2DFA"/>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7F2"/>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49DD"/>
    <w:rsid w:val="006A6246"/>
    <w:rsid w:val="006A6AEE"/>
    <w:rsid w:val="006B027E"/>
    <w:rsid w:val="006B0965"/>
    <w:rsid w:val="006B6754"/>
    <w:rsid w:val="006B71FD"/>
    <w:rsid w:val="006C0661"/>
    <w:rsid w:val="006C0E3B"/>
    <w:rsid w:val="006C18AF"/>
    <w:rsid w:val="006C1D12"/>
    <w:rsid w:val="006C5EC9"/>
    <w:rsid w:val="006C7C8B"/>
    <w:rsid w:val="006D29E6"/>
    <w:rsid w:val="006D3EEB"/>
    <w:rsid w:val="006D449D"/>
    <w:rsid w:val="006D5851"/>
    <w:rsid w:val="006D5DAA"/>
    <w:rsid w:val="006D60D9"/>
    <w:rsid w:val="006D6178"/>
    <w:rsid w:val="006E0B0C"/>
    <w:rsid w:val="006E361D"/>
    <w:rsid w:val="006E3810"/>
    <w:rsid w:val="006E44B1"/>
    <w:rsid w:val="006E492E"/>
    <w:rsid w:val="006E4C9D"/>
    <w:rsid w:val="006E4F7B"/>
    <w:rsid w:val="006E5DCF"/>
    <w:rsid w:val="006E669C"/>
    <w:rsid w:val="006E786F"/>
    <w:rsid w:val="006E7CF8"/>
    <w:rsid w:val="006F01C3"/>
    <w:rsid w:val="006F1251"/>
    <w:rsid w:val="006F28C7"/>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769F"/>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8520C"/>
    <w:rsid w:val="007912CE"/>
    <w:rsid w:val="007934C4"/>
    <w:rsid w:val="0079451D"/>
    <w:rsid w:val="00795966"/>
    <w:rsid w:val="007A04C8"/>
    <w:rsid w:val="007A3102"/>
    <w:rsid w:val="007A316B"/>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4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5A24"/>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0A7"/>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265"/>
    <w:rsid w:val="008B04B3"/>
    <w:rsid w:val="008B060F"/>
    <w:rsid w:val="008B144F"/>
    <w:rsid w:val="008B1A88"/>
    <w:rsid w:val="008B279B"/>
    <w:rsid w:val="008B3B85"/>
    <w:rsid w:val="008B42E3"/>
    <w:rsid w:val="008B4E8C"/>
    <w:rsid w:val="008B60B8"/>
    <w:rsid w:val="008B7F86"/>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5FF"/>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100B6"/>
    <w:rsid w:val="00A1136A"/>
    <w:rsid w:val="00A14174"/>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C5E"/>
    <w:rsid w:val="00A94D60"/>
    <w:rsid w:val="00A96931"/>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270D"/>
    <w:rsid w:val="00B04312"/>
    <w:rsid w:val="00B0539A"/>
    <w:rsid w:val="00B06669"/>
    <w:rsid w:val="00B06F09"/>
    <w:rsid w:val="00B07DF0"/>
    <w:rsid w:val="00B13D31"/>
    <w:rsid w:val="00B14782"/>
    <w:rsid w:val="00B14B32"/>
    <w:rsid w:val="00B14BA4"/>
    <w:rsid w:val="00B14C9C"/>
    <w:rsid w:val="00B14CD3"/>
    <w:rsid w:val="00B14E05"/>
    <w:rsid w:val="00B15716"/>
    <w:rsid w:val="00B162E1"/>
    <w:rsid w:val="00B17156"/>
    <w:rsid w:val="00B17A29"/>
    <w:rsid w:val="00B17D85"/>
    <w:rsid w:val="00B21966"/>
    <w:rsid w:val="00B222A4"/>
    <w:rsid w:val="00B2363C"/>
    <w:rsid w:val="00B252F9"/>
    <w:rsid w:val="00B25977"/>
    <w:rsid w:val="00B271D8"/>
    <w:rsid w:val="00B27C45"/>
    <w:rsid w:val="00B313EB"/>
    <w:rsid w:val="00B3198A"/>
    <w:rsid w:val="00B34812"/>
    <w:rsid w:val="00B357AE"/>
    <w:rsid w:val="00B37E57"/>
    <w:rsid w:val="00B42FA5"/>
    <w:rsid w:val="00B44568"/>
    <w:rsid w:val="00B514D3"/>
    <w:rsid w:val="00B51BC7"/>
    <w:rsid w:val="00B52134"/>
    <w:rsid w:val="00B5541C"/>
    <w:rsid w:val="00B56063"/>
    <w:rsid w:val="00B570B0"/>
    <w:rsid w:val="00B57714"/>
    <w:rsid w:val="00B61620"/>
    <w:rsid w:val="00B64061"/>
    <w:rsid w:val="00B65BB6"/>
    <w:rsid w:val="00B7048C"/>
    <w:rsid w:val="00B71D8A"/>
    <w:rsid w:val="00B73F7D"/>
    <w:rsid w:val="00B743B9"/>
    <w:rsid w:val="00B768AE"/>
    <w:rsid w:val="00B768D7"/>
    <w:rsid w:val="00B778A3"/>
    <w:rsid w:val="00B809F3"/>
    <w:rsid w:val="00B85932"/>
    <w:rsid w:val="00B87588"/>
    <w:rsid w:val="00B92474"/>
    <w:rsid w:val="00BA2419"/>
    <w:rsid w:val="00BA548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CF8"/>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2651C"/>
    <w:rsid w:val="00C311E4"/>
    <w:rsid w:val="00C321E6"/>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4EDA"/>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CC0"/>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57F12"/>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6B5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0D8"/>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1ABB"/>
    <w:rsid w:val="00F83033"/>
    <w:rsid w:val="00F83035"/>
    <w:rsid w:val="00F866B0"/>
    <w:rsid w:val="00F869EF"/>
    <w:rsid w:val="00F86BE4"/>
    <w:rsid w:val="00F86C7B"/>
    <w:rsid w:val="00F86D61"/>
    <w:rsid w:val="00F905B6"/>
    <w:rsid w:val="00F90B31"/>
    <w:rsid w:val="00F914B2"/>
    <w:rsid w:val="00F926B9"/>
    <w:rsid w:val="00F9541D"/>
    <w:rsid w:val="00FA0403"/>
    <w:rsid w:val="00FA0CE6"/>
    <w:rsid w:val="00FA198E"/>
    <w:rsid w:val="00FA35FB"/>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5F4AC4"/>
  <w15:docId w15:val="{CE8A1967-4792-4918-8918-EF3E5DAB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7F2"/>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PlainTable2">
    <w:name w:val="Plain Table 2"/>
    <w:basedOn w:val="TableNormal"/>
    <w:uiPriority w:val="42"/>
    <w:rsid w:val="005E17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32132549">
      <w:bodyDiv w:val="1"/>
      <w:marLeft w:val="0"/>
      <w:marRight w:val="0"/>
      <w:marTop w:val="0"/>
      <w:marBottom w:val="0"/>
      <w:divBdr>
        <w:top w:val="none" w:sz="0" w:space="0" w:color="auto"/>
        <w:left w:val="none" w:sz="0" w:space="0" w:color="auto"/>
        <w:bottom w:val="none" w:sz="0" w:space="0" w:color="auto"/>
        <w:right w:val="none" w:sz="0" w:space="0" w:color="auto"/>
      </w:divBdr>
    </w:div>
    <w:div w:id="130307254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2.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0.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3E29B-C8C4-4C30-9C0F-762C6693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11</Pages>
  <Words>24353</Words>
  <Characters>138815</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IJPHS</vt:lpstr>
    </vt:vector>
  </TitlesOfParts>
  <Company>cairo</Company>
  <LinksUpToDate>false</LinksUpToDate>
  <CharactersWithSpaces>162843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IJPHS</dc:title>
  <dc:creator>Editor</dc:creator>
  <cp:lastModifiedBy>Asus</cp:lastModifiedBy>
  <cp:revision>26</cp:revision>
  <cp:lastPrinted>2019-03-21T07:47:00Z</cp:lastPrinted>
  <dcterms:created xsi:type="dcterms:W3CDTF">2021-06-20T23:54:00Z</dcterms:created>
  <dcterms:modified xsi:type="dcterms:W3CDTF">2021-06-28T13:23:00Z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e608126a-7e4c-38aa-ba66-bdce8f969b71</vt:lpwstr>
  </property>
</Properties>
</file>