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EAD65" w14:textId="77777777" w:rsidR="002F5791" w:rsidRPr="002F5791" w:rsidRDefault="002F5791" w:rsidP="002F5791">
      <w:pPr>
        <w:jc w:val="center"/>
        <w:rPr>
          <w:b/>
          <w:bCs/>
          <w:sz w:val="32"/>
          <w:szCs w:val="32"/>
        </w:rPr>
      </w:pPr>
      <w:r w:rsidRPr="002F5791">
        <w:rPr>
          <w:b/>
          <w:bCs/>
          <w:sz w:val="32"/>
          <w:szCs w:val="32"/>
          <w:lang w:val="en"/>
        </w:rPr>
        <w:t>Correlation between Emergency Nurses' Perceptions of Hospital Facility Support and Disaster Preparedness: A Cross-Sectional Study</w:t>
      </w:r>
    </w:p>
    <w:p w14:paraId="4DD06120" w14:textId="77777777" w:rsidR="00904D6D" w:rsidRPr="003D5B84" w:rsidRDefault="00904D6D" w:rsidP="00904D6D">
      <w:pPr>
        <w:jc w:val="center"/>
        <w:rPr>
          <w:b/>
          <w:bCs/>
        </w:rPr>
      </w:pPr>
    </w:p>
    <w:p w14:paraId="4E2ADECB" w14:textId="77777777" w:rsidR="00250A66" w:rsidRPr="003D5B84" w:rsidRDefault="00250A66" w:rsidP="00904D6D">
      <w:pPr>
        <w:jc w:val="center"/>
        <w:rPr>
          <w:b/>
          <w:bCs/>
        </w:rPr>
      </w:pPr>
    </w:p>
    <w:p w14:paraId="5DB1E73D" w14:textId="3CF2CB6B" w:rsidR="00904D6D" w:rsidRPr="00D74C5F" w:rsidRDefault="00541AAE" w:rsidP="00904D6D">
      <w:pPr>
        <w:jc w:val="center"/>
        <w:rPr>
          <w:b/>
          <w:bCs/>
        </w:rPr>
      </w:pPr>
      <w:r>
        <w:rPr>
          <w:b/>
          <w:bCs/>
        </w:rPr>
        <w:t xml:space="preserve">Dewa </w:t>
      </w:r>
      <w:proofErr w:type="spellStart"/>
      <w:r>
        <w:rPr>
          <w:b/>
          <w:bCs/>
        </w:rPr>
        <w:t>Gede</w:t>
      </w:r>
      <w:proofErr w:type="spellEnd"/>
      <w:r>
        <w:rPr>
          <w:b/>
          <w:bCs/>
        </w:rPr>
        <w:t xml:space="preserve"> Sanjaya Putra</w:t>
      </w:r>
      <w:r w:rsidR="00E12660" w:rsidRPr="003D5B84">
        <w:rPr>
          <w:b/>
          <w:bCs/>
          <w:lang w:val="id-ID"/>
        </w:rPr>
        <w:t xml:space="preserve">, </w:t>
      </w:r>
      <w:proofErr w:type="spellStart"/>
      <w:r>
        <w:rPr>
          <w:b/>
          <w:bCs/>
        </w:rPr>
        <w:t>Kuswantoro</w:t>
      </w:r>
      <w:proofErr w:type="spellEnd"/>
      <w:r>
        <w:rPr>
          <w:b/>
          <w:bCs/>
        </w:rPr>
        <w:t xml:space="preserve"> </w:t>
      </w:r>
      <w:proofErr w:type="spellStart"/>
      <w:r>
        <w:rPr>
          <w:b/>
          <w:bCs/>
        </w:rPr>
        <w:t>Rusca</w:t>
      </w:r>
      <w:proofErr w:type="spellEnd"/>
      <w:r>
        <w:rPr>
          <w:b/>
          <w:bCs/>
        </w:rPr>
        <w:t xml:space="preserve"> Putra</w:t>
      </w:r>
      <w:r w:rsidR="00E12660" w:rsidRPr="003D5B84">
        <w:rPr>
          <w:b/>
          <w:bCs/>
          <w:lang w:val="id-ID"/>
        </w:rPr>
        <w:t xml:space="preserve">, </w:t>
      </w:r>
      <w:proofErr w:type="spellStart"/>
      <w:r>
        <w:rPr>
          <w:b/>
          <w:bCs/>
        </w:rPr>
        <w:t>Noorhamdani</w:t>
      </w:r>
      <w:proofErr w:type="spellEnd"/>
      <w:r>
        <w:rPr>
          <w:b/>
          <w:bCs/>
        </w:rPr>
        <w:t xml:space="preserve"> AS</w:t>
      </w:r>
      <w:r w:rsidR="00D74C5F">
        <w:rPr>
          <w:b/>
          <w:bCs/>
        </w:rPr>
        <w:t xml:space="preserve"> </w:t>
      </w:r>
    </w:p>
    <w:p w14:paraId="018CC1F1" w14:textId="13D51D3B" w:rsidR="00541AAE" w:rsidRPr="00541AAE" w:rsidRDefault="00530415" w:rsidP="00541AAE">
      <w:pPr>
        <w:jc w:val="center"/>
        <w:rPr>
          <w:sz w:val="18"/>
          <w:szCs w:val="18"/>
        </w:rPr>
      </w:pPr>
      <w:r w:rsidRPr="00530415">
        <w:rPr>
          <w:sz w:val="18"/>
          <w:szCs w:val="18"/>
          <w:vertAlign w:val="superscript"/>
        </w:rPr>
        <w:t>1</w:t>
      </w:r>
      <w:r w:rsidR="00541AAE" w:rsidRPr="00541AAE">
        <w:rPr>
          <w:rFonts w:ascii="Arial" w:eastAsiaTheme="minorHAnsi" w:hAnsi="Arial" w:cs="Arial"/>
          <w:sz w:val="22"/>
          <w:szCs w:val="22"/>
        </w:rPr>
        <w:t xml:space="preserve"> </w:t>
      </w:r>
      <w:r w:rsidR="00541AAE" w:rsidRPr="00541AAE">
        <w:rPr>
          <w:sz w:val="18"/>
          <w:szCs w:val="18"/>
        </w:rPr>
        <w:t xml:space="preserve">Student at Master of Nursing, Faculty of Medicine, </w:t>
      </w:r>
      <w:proofErr w:type="spellStart"/>
      <w:r w:rsidR="00541AAE" w:rsidRPr="00541AAE">
        <w:rPr>
          <w:sz w:val="18"/>
          <w:szCs w:val="18"/>
        </w:rPr>
        <w:t>Universitas</w:t>
      </w:r>
      <w:proofErr w:type="spellEnd"/>
      <w:r w:rsidR="00541AAE" w:rsidRPr="00541AAE">
        <w:rPr>
          <w:sz w:val="18"/>
          <w:szCs w:val="18"/>
        </w:rPr>
        <w:t xml:space="preserve"> </w:t>
      </w:r>
      <w:proofErr w:type="spellStart"/>
      <w:r w:rsidR="00541AAE" w:rsidRPr="00541AAE">
        <w:rPr>
          <w:sz w:val="18"/>
          <w:szCs w:val="18"/>
        </w:rPr>
        <w:t>Brawijaya</w:t>
      </w:r>
      <w:proofErr w:type="spellEnd"/>
      <w:r w:rsidR="00541AAE" w:rsidRPr="00541AAE">
        <w:rPr>
          <w:sz w:val="18"/>
          <w:szCs w:val="18"/>
        </w:rPr>
        <w:t>, Malang, Indonesia</w:t>
      </w:r>
    </w:p>
    <w:p w14:paraId="786A45FC" w14:textId="0E7E221D" w:rsidR="00904D6D" w:rsidRPr="00E2599A" w:rsidRDefault="00530415" w:rsidP="00E2599A">
      <w:pPr>
        <w:jc w:val="center"/>
        <w:rPr>
          <w:sz w:val="18"/>
          <w:szCs w:val="18"/>
        </w:rPr>
      </w:pPr>
      <w:r>
        <w:rPr>
          <w:sz w:val="18"/>
          <w:szCs w:val="18"/>
          <w:vertAlign w:val="superscript"/>
        </w:rPr>
        <w:t>2</w:t>
      </w:r>
      <w:r w:rsidR="00541AAE">
        <w:rPr>
          <w:sz w:val="18"/>
          <w:szCs w:val="18"/>
          <w:vertAlign w:val="superscript"/>
        </w:rPr>
        <w:t>,3</w:t>
      </w:r>
      <w:r w:rsidR="00541AAE" w:rsidRPr="00541AAE">
        <w:rPr>
          <w:sz w:val="18"/>
          <w:szCs w:val="18"/>
        </w:rPr>
        <w:t xml:space="preserve">Lecturer at Master of Nursing, Faculty of Medicine, </w:t>
      </w:r>
      <w:proofErr w:type="spellStart"/>
      <w:r w:rsidR="00541AAE" w:rsidRPr="00541AAE">
        <w:rPr>
          <w:sz w:val="18"/>
          <w:szCs w:val="18"/>
        </w:rPr>
        <w:t>Universitas</w:t>
      </w:r>
      <w:proofErr w:type="spellEnd"/>
      <w:r w:rsidR="00541AAE" w:rsidRPr="00541AAE">
        <w:rPr>
          <w:sz w:val="18"/>
          <w:szCs w:val="18"/>
        </w:rPr>
        <w:t xml:space="preserve"> </w:t>
      </w:r>
      <w:proofErr w:type="spellStart"/>
      <w:r w:rsidR="00541AAE" w:rsidRPr="00541AAE">
        <w:rPr>
          <w:sz w:val="18"/>
          <w:szCs w:val="18"/>
        </w:rPr>
        <w:t>Brawijaya</w:t>
      </w:r>
      <w:proofErr w:type="spellEnd"/>
      <w:r w:rsidR="00541AAE" w:rsidRPr="00541AAE">
        <w:rPr>
          <w:sz w:val="18"/>
          <w:szCs w:val="18"/>
        </w:rPr>
        <w:t>, Malang, Indonesia</w:t>
      </w:r>
    </w:p>
    <w:p w14:paraId="200BD9C6" w14:textId="77777777" w:rsidR="00904D6D" w:rsidRDefault="00904D6D" w:rsidP="0088233C">
      <w:pPr>
        <w:jc w:val="center"/>
      </w:pPr>
    </w:p>
    <w:p w14:paraId="01AE32E9"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6849486" w14:textId="77777777" w:rsidTr="00C07BEF">
        <w:tc>
          <w:tcPr>
            <w:tcW w:w="2802" w:type="dxa"/>
            <w:tcBorders>
              <w:top w:val="double" w:sz="4" w:space="0" w:color="auto"/>
              <w:left w:val="nil"/>
              <w:bottom w:val="single" w:sz="4" w:space="0" w:color="auto"/>
              <w:right w:val="nil"/>
            </w:tcBorders>
          </w:tcPr>
          <w:p w14:paraId="12E3CE0B"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486434B8"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47475494" w14:textId="5143EC61"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0E432ADA" w14:textId="77777777" w:rsidTr="00C07BEF">
        <w:trPr>
          <w:trHeight w:val="1268"/>
        </w:trPr>
        <w:tc>
          <w:tcPr>
            <w:tcW w:w="2802" w:type="dxa"/>
            <w:tcBorders>
              <w:top w:val="single" w:sz="4" w:space="0" w:color="auto"/>
              <w:left w:val="nil"/>
              <w:bottom w:val="single" w:sz="4" w:space="0" w:color="auto"/>
              <w:right w:val="nil"/>
            </w:tcBorders>
          </w:tcPr>
          <w:p w14:paraId="77429B96" w14:textId="77777777" w:rsidR="00941203" w:rsidRPr="007F286F" w:rsidRDefault="00941203" w:rsidP="00941203">
            <w:pPr>
              <w:spacing w:before="120" w:after="120"/>
              <w:jc w:val="both"/>
              <w:rPr>
                <w:b/>
                <w:i/>
              </w:rPr>
            </w:pPr>
            <w:r w:rsidRPr="007F286F">
              <w:rPr>
                <w:b/>
                <w:i/>
              </w:rPr>
              <w:t>Article history:</w:t>
            </w:r>
          </w:p>
          <w:p w14:paraId="727A215D" w14:textId="77777777" w:rsidR="00941203" w:rsidRPr="00957C11" w:rsidRDefault="00941203" w:rsidP="00B45F1D">
            <w:pPr>
              <w:jc w:val="both"/>
            </w:pPr>
          </w:p>
        </w:tc>
        <w:tc>
          <w:tcPr>
            <w:tcW w:w="283" w:type="dxa"/>
            <w:vMerge w:val="restart"/>
            <w:tcBorders>
              <w:top w:val="nil"/>
              <w:left w:val="nil"/>
              <w:bottom w:val="nil"/>
              <w:right w:val="nil"/>
            </w:tcBorders>
          </w:tcPr>
          <w:p w14:paraId="525EECC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1EADD7F9" w14:textId="2131B43C" w:rsidR="00941203" w:rsidRPr="00541AAE" w:rsidRDefault="002F5791" w:rsidP="00957C11">
            <w:pPr>
              <w:spacing w:before="120"/>
              <w:jc w:val="both"/>
              <w:rPr>
                <w:iCs/>
                <w:color w:val="000000"/>
                <w:sz w:val="18"/>
                <w:szCs w:val="18"/>
                <w:lang w:val="en"/>
              </w:rPr>
            </w:pPr>
            <w:r w:rsidRPr="002F5791">
              <w:rPr>
                <w:iCs/>
                <w:color w:val="000000"/>
                <w:sz w:val="18"/>
                <w:szCs w:val="18"/>
              </w:rPr>
              <w:t>Disasters cause material losses, morbidity, and deaths. Support for the role of hospitals and health workers, especially nurses, is needed to reduce the number of victims in each disaster. Using a cross-sectional survey design, this  study aims to analyze the relationship between nurses' perceptions of hospital facility support and disaster preparedness</w:t>
            </w:r>
            <w:r w:rsidRPr="002F5791" w:rsidDel="00403A8A">
              <w:rPr>
                <w:iCs/>
                <w:color w:val="000000"/>
                <w:sz w:val="18"/>
                <w:szCs w:val="18"/>
              </w:rPr>
              <w:t xml:space="preserve"> </w:t>
            </w:r>
            <w:r w:rsidRPr="002F5791">
              <w:rPr>
                <w:iCs/>
                <w:color w:val="000000"/>
                <w:sz w:val="18"/>
                <w:szCs w:val="18"/>
              </w:rPr>
              <w:t>. One hundred sixty seven respondents were selected using proportional random sampling.</w:t>
            </w:r>
            <w:r w:rsidRPr="002F5791">
              <w:rPr>
                <w:iCs/>
                <w:color w:val="000000"/>
                <w:sz w:val="18"/>
                <w:szCs w:val="18"/>
                <w:lang w:val="en"/>
              </w:rPr>
              <w:t xml:space="preserve"> Disaster Preparedness Evaluation Tool (DPET) was used to assess the participants’ readiness, and the Health Sector Self-Assessment Tool for Disaster Risk Reduction was used to assess nurses' perceptions of hospital facility support. The final results of the analysis using the Spearman Rank test showed a significant correlation between hospital infrastructure support and emergency nurses’ preparedness in disaster preparedness with a p-value (0.000) &lt;alpha (0.05). The higher the nurses' perceptions of hospital facility support, the higher their preparedness in disaster management is. Strengthening guidelines of disaster planning in hospitals, especially regarding the ability of hospitals to overcome </w:t>
            </w:r>
            <w:r w:rsidRPr="002F5791">
              <w:rPr>
                <w:iCs/>
                <w:color w:val="000000"/>
                <w:sz w:val="18"/>
                <w:szCs w:val="18"/>
              </w:rPr>
              <w:t>the impacts of disasters</w:t>
            </w:r>
            <w:r w:rsidRPr="002F5791">
              <w:rPr>
                <w:iCs/>
                <w:color w:val="000000"/>
                <w:sz w:val="18"/>
                <w:szCs w:val="18"/>
                <w:lang w:val="en"/>
              </w:rPr>
              <w:t>, will provide optimal support for emergency nurses during a disaster crisis.</w:t>
            </w:r>
          </w:p>
        </w:tc>
      </w:tr>
      <w:tr w:rsidR="00941203" w14:paraId="034B56F8" w14:textId="77777777" w:rsidTr="00C07BEF">
        <w:trPr>
          <w:trHeight w:val="1231"/>
        </w:trPr>
        <w:tc>
          <w:tcPr>
            <w:tcW w:w="2802" w:type="dxa"/>
            <w:vMerge w:val="restart"/>
            <w:tcBorders>
              <w:top w:val="single" w:sz="4" w:space="0" w:color="auto"/>
              <w:left w:val="nil"/>
              <w:bottom w:val="single" w:sz="4" w:space="0" w:color="auto"/>
              <w:right w:val="nil"/>
            </w:tcBorders>
          </w:tcPr>
          <w:p w14:paraId="41CF93EF"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0B80A194" w14:textId="77777777" w:rsidR="00541AAE" w:rsidRDefault="00541AAE" w:rsidP="00941203">
            <w:pPr>
              <w:jc w:val="both"/>
              <w:rPr>
                <w:lang w:val="en"/>
              </w:rPr>
            </w:pPr>
            <w:r w:rsidRPr="00541AAE">
              <w:rPr>
                <w:lang w:val="en"/>
              </w:rPr>
              <w:t>Disaster Preparedness</w:t>
            </w:r>
          </w:p>
          <w:p w14:paraId="11919626" w14:textId="71C00CE8" w:rsidR="00941203" w:rsidRPr="007F286F" w:rsidRDefault="00541AAE" w:rsidP="00541AAE">
            <w:pPr>
              <w:jc w:val="both"/>
              <w:rPr>
                <w:b/>
                <w:i/>
              </w:rPr>
            </w:pPr>
            <w:r w:rsidRPr="00541AAE">
              <w:rPr>
                <w:lang w:val="en"/>
              </w:rPr>
              <w:t>Hospital</w:t>
            </w:r>
            <w:r w:rsidR="00B45F1D">
              <w:rPr>
                <w:lang w:val="en"/>
              </w:rPr>
              <w:t xml:space="preserve"> </w:t>
            </w:r>
            <w:r w:rsidRPr="00541AAE">
              <w:rPr>
                <w:lang w:val="en"/>
              </w:rPr>
              <w:t>Facility</w:t>
            </w:r>
            <w:r w:rsidR="00B45F1D">
              <w:rPr>
                <w:lang w:val="en"/>
              </w:rPr>
              <w:t xml:space="preserve"> </w:t>
            </w:r>
            <w:r w:rsidRPr="00541AAE">
              <w:rPr>
                <w:lang w:val="en"/>
              </w:rPr>
              <w:t>Support Emergency Nurses</w:t>
            </w:r>
            <w:r w:rsidRPr="00541AAE">
              <w:t xml:space="preserve"> </w:t>
            </w:r>
          </w:p>
        </w:tc>
        <w:tc>
          <w:tcPr>
            <w:tcW w:w="283" w:type="dxa"/>
            <w:vMerge/>
            <w:tcBorders>
              <w:top w:val="nil"/>
              <w:left w:val="nil"/>
              <w:bottom w:val="nil"/>
              <w:right w:val="nil"/>
            </w:tcBorders>
          </w:tcPr>
          <w:p w14:paraId="1939DECA" w14:textId="77777777" w:rsidR="00941203" w:rsidRDefault="00941203" w:rsidP="00957C11">
            <w:pPr>
              <w:spacing w:before="120"/>
              <w:jc w:val="both"/>
            </w:pPr>
          </w:p>
        </w:tc>
        <w:tc>
          <w:tcPr>
            <w:tcW w:w="5812" w:type="dxa"/>
            <w:vMerge/>
            <w:tcBorders>
              <w:top w:val="nil"/>
              <w:left w:val="nil"/>
              <w:bottom w:val="nil"/>
              <w:right w:val="nil"/>
            </w:tcBorders>
          </w:tcPr>
          <w:p w14:paraId="5C249A96" w14:textId="77777777" w:rsidR="00941203" w:rsidRPr="00957C11" w:rsidRDefault="00941203" w:rsidP="00957C11">
            <w:pPr>
              <w:spacing w:before="120"/>
              <w:jc w:val="both"/>
              <w:rPr>
                <w:iCs/>
                <w:color w:val="000000"/>
                <w:sz w:val="18"/>
                <w:szCs w:val="18"/>
              </w:rPr>
            </w:pPr>
          </w:p>
        </w:tc>
      </w:tr>
      <w:tr w:rsidR="00941203" w14:paraId="1B977F5D" w14:textId="77777777" w:rsidTr="00C07BEF">
        <w:trPr>
          <w:trHeight w:val="70"/>
        </w:trPr>
        <w:tc>
          <w:tcPr>
            <w:tcW w:w="2802" w:type="dxa"/>
            <w:vMerge/>
            <w:tcBorders>
              <w:top w:val="single" w:sz="4" w:space="0" w:color="auto"/>
              <w:left w:val="nil"/>
              <w:bottom w:val="single" w:sz="4" w:space="0" w:color="auto"/>
              <w:right w:val="nil"/>
            </w:tcBorders>
          </w:tcPr>
          <w:p w14:paraId="7C541FD6"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2565A58" w14:textId="77777777" w:rsidR="00941203" w:rsidRDefault="00941203" w:rsidP="00957C11">
            <w:pPr>
              <w:spacing w:before="120"/>
              <w:jc w:val="both"/>
            </w:pPr>
          </w:p>
        </w:tc>
        <w:tc>
          <w:tcPr>
            <w:tcW w:w="5812" w:type="dxa"/>
            <w:tcBorders>
              <w:top w:val="nil"/>
              <w:left w:val="nil"/>
              <w:bottom w:val="single" w:sz="4" w:space="0" w:color="auto"/>
              <w:right w:val="nil"/>
            </w:tcBorders>
          </w:tcPr>
          <w:p w14:paraId="05D4A748" w14:textId="77777777" w:rsidR="00BA5488" w:rsidRDefault="00BA5488" w:rsidP="00BA5488">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4A22294E" w14:textId="77777777" w:rsidR="00941203" w:rsidRPr="00941203" w:rsidRDefault="00BA5488" w:rsidP="00BA5488">
            <w:pPr>
              <w:spacing w:before="120" w:after="120"/>
              <w:jc w:val="right"/>
              <w:rPr>
                <w:i/>
                <w:iCs/>
                <w:color w:val="000000"/>
                <w:sz w:val="18"/>
                <w:szCs w:val="18"/>
              </w:rPr>
            </w:pPr>
            <w:r>
              <w:rPr>
                <w:noProof/>
                <w:lang w:val="en-AU" w:eastAsia="en-AU"/>
              </w:rPr>
              <w:drawing>
                <wp:inline distT="0" distB="0" distL="0" distR="0" wp14:anchorId="07EBE1F8" wp14:editId="7F48904D">
                  <wp:extent cx="1052830" cy="372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830" cy="372110"/>
                          </a:xfrm>
                          <a:prstGeom prst="rect">
                            <a:avLst/>
                          </a:prstGeom>
                          <a:noFill/>
                          <a:ln>
                            <a:noFill/>
                          </a:ln>
                        </pic:spPr>
                      </pic:pic>
                    </a:graphicData>
                  </a:graphic>
                </wp:inline>
              </w:drawing>
            </w:r>
          </w:p>
        </w:tc>
      </w:tr>
      <w:tr w:rsidR="007F286F" w14:paraId="7965167C" w14:textId="77777777" w:rsidTr="00C07BEF">
        <w:tc>
          <w:tcPr>
            <w:tcW w:w="8897" w:type="dxa"/>
            <w:gridSpan w:val="3"/>
            <w:tcBorders>
              <w:top w:val="nil"/>
              <w:left w:val="nil"/>
              <w:bottom w:val="double" w:sz="4" w:space="0" w:color="auto"/>
              <w:right w:val="nil"/>
            </w:tcBorders>
          </w:tcPr>
          <w:p w14:paraId="1DFDC716" w14:textId="77777777" w:rsidR="007F286F" w:rsidRPr="007F286F" w:rsidRDefault="007F286F" w:rsidP="00941203">
            <w:pPr>
              <w:spacing w:before="120" w:after="120"/>
              <w:rPr>
                <w:b/>
                <w:i/>
              </w:rPr>
            </w:pPr>
            <w:r w:rsidRPr="007F286F">
              <w:rPr>
                <w:b/>
                <w:i/>
              </w:rPr>
              <w:t>Corresponding Author:</w:t>
            </w:r>
          </w:p>
          <w:p w14:paraId="2BCB6897" w14:textId="5CED0105" w:rsidR="007F286F" w:rsidRDefault="00541AAE" w:rsidP="007F286F">
            <w:r>
              <w:t xml:space="preserve">Dewa </w:t>
            </w:r>
            <w:proofErr w:type="spellStart"/>
            <w:r>
              <w:t>Gede</w:t>
            </w:r>
            <w:proofErr w:type="spellEnd"/>
            <w:r>
              <w:t xml:space="preserve"> Sanjaya Putra</w:t>
            </w:r>
          </w:p>
          <w:p w14:paraId="35783B47" w14:textId="4CE84C47" w:rsidR="007F286F" w:rsidRDefault="00541AAE" w:rsidP="007F286F">
            <w:r>
              <w:t>Master Of Nursing</w:t>
            </w:r>
            <w:r w:rsidR="00941203">
              <w:t>,</w:t>
            </w:r>
            <w:r>
              <w:t xml:space="preserve"> Faculty Of Medicine</w:t>
            </w:r>
          </w:p>
          <w:p w14:paraId="6086E523" w14:textId="2CCDC9EC" w:rsidR="007F286F" w:rsidRDefault="00541AAE" w:rsidP="007F286F">
            <w:proofErr w:type="spellStart"/>
            <w:r>
              <w:t>Brawijaya</w:t>
            </w:r>
            <w:proofErr w:type="spellEnd"/>
            <w:r w:rsidR="007F286F">
              <w:t xml:space="preserve"> University</w:t>
            </w:r>
            <w:r w:rsidR="00941203">
              <w:t>,</w:t>
            </w:r>
          </w:p>
          <w:p w14:paraId="5C8C3AA1" w14:textId="77777777" w:rsidR="00541AAE" w:rsidRDefault="00541AAE" w:rsidP="006B027E">
            <w:pPr>
              <w:spacing w:after="120"/>
            </w:pPr>
            <w:r w:rsidRPr="00541AAE">
              <w:t xml:space="preserve">Jl. Veteran, </w:t>
            </w:r>
            <w:proofErr w:type="spellStart"/>
            <w:r w:rsidRPr="00541AAE">
              <w:t>Ketawanggede</w:t>
            </w:r>
            <w:proofErr w:type="spellEnd"/>
            <w:r w:rsidRPr="00541AAE">
              <w:t xml:space="preserve">, </w:t>
            </w:r>
            <w:proofErr w:type="spellStart"/>
            <w:r w:rsidRPr="00541AAE">
              <w:t>Kec</w:t>
            </w:r>
            <w:proofErr w:type="spellEnd"/>
            <w:r w:rsidRPr="00541AAE">
              <w:t xml:space="preserve">. </w:t>
            </w:r>
            <w:proofErr w:type="spellStart"/>
            <w:r w:rsidRPr="00541AAE">
              <w:t>Lowokwaru</w:t>
            </w:r>
            <w:proofErr w:type="spellEnd"/>
            <w:r w:rsidRPr="00541AAE">
              <w:t xml:space="preserve">, Kota Malang, </w:t>
            </w:r>
            <w:proofErr w:type="spellStart"/>
            <w:r w:rsidRPr="00541AAE">
              <w:t>Jawa</w:t>
            </w:r>
            <w:proofErr w:type="spellEnd"/>
            <w:r w:rsidRPr="00541AAE">
              <w:t xml:space="preserve"> Timur 65145 </w:t>
            </w:r>
          </w:p>
          <w:p w14:paraId="5FD49500" w14:textId="12C04A9F" w:rsidR="00941203" w:rsidRPr="00957C11" w:rsidRDefault="00941203" w:rsidP="006B027E">
            <w:pPr>
              <w:spacing w:after="120"/>
              <w:rPr>
                <w:color w:val="000000"/>
                <w:sz w:val="18"/>
                <w:szCs w:val="18"/>
              </w:rPr>
            </w:pPr>
            <w:r>
              <w:t xml:space="preserve">Email: </w:t>
            </w:r>
            <w:r w:rsidR="00541AAE">
              <w:t>sanjayaputradewagede@gmail.com</w:t>
            </w:r>
          </w:p>
        </w:tc>
      </w:tr>
    </w:tbl>
    <w:p w14:paraId="361C8C0F" w14:textId="77777777" w:rsidR="00957C11" w:rsidRDefault="00957C11" w:rsidP="00957C11">
      <w:pPr>
        <w:jc w:val="both"/>
      </w:pPr>
    </w:p>
    <w:p w14:paraId="0035DC6B" w14:textId="77777777" w:rsidR="00C07BEF" w:rsidRPr="00957C11" w:rsidRDefault="00C07BEF" w:rsidP="00957C11">
      <w:pPr>
        <w:jc w:val="both"/>
      </w:pPr>
    </w:p>
    <w:p w14:paraId="2D55947E" w14:textId="7FF82F39"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14:paraId="2EC0C130" w14:textId="411AE9E6" w:rsidR="002F5791" w:rsidRPr="002F5791" w:rsidRDefault="002F5791" w:rsidP="002F5791">
      <w:pPr>
        <w:ind w:firstLine="720"/>
        <w:jc w:val="both"/>
        <w:rPr>
          <w:iCs/>
        </w:rPr>
      </w:pPr>
      <w:r w:rsidRPr="002F5791">
        <w:rPr>
          <w:iCs/>
          <w:lang w:val="en"/>
        </w:rPr>
        <w:t xml:space="preserve">The number of catastrophic crises has been increasing globally </w:t>
      </w:r>
      <w:r w:rsidRPr="002F5791">
        <w:rPr>
          <w:iCs/>
        </w:rPr>
        <w:fldChar w:fldCharType="begin" w:fldLock="1"/>
      </w:r>
      <w:r w:rsidR="00A85738">
        <w:rPr>
          <w:iCs/>
        </w:rPr>
        <w:instrText>ADDIN CSL_CITATION {"citationItems":[{"id":"ITEM-1","itemData":{"author":[{"dropping-particle":"","family":"UN-ISDR","given":"","non-dropping-particle":"","parse-names":false,"suffix":""}],"id":"ITEM-1","issued":{"date-parts":[["2015"]]},"publisher-place":"Geneva, Switzerland","title":"Sendai Framework for Disaster Risk Reduction 2015 - 2030","type":"report"},"uris":["http://www.mendeley.com/documents/?uuid=b94c81bd-2907-428a-b329-e2020c5fc76a"]}],"mendeley":{"formattedCitation":"[1]","plainTextFormattedCitation":"[1]","previouslyFormattedCitation":"[1]"},"properties":{"noteIndex":0},"schema":"https://github.com/citation-style-language/schema/raw/master/csl-citation.json"}</w:instrText>
      </w:r>
      <w:r w:rsidRPr="002F5791">
        <w:rPr>
          <w:iCs/>
        </w:rPr>
        <w:fldChar w:fldCharType="separate"/>
      </w:r>
      <w:r w:rsidR="00EB1865" w:rsidRPr="00EB1865">
        <w:rPr>
          <w:iCs/>
          <w:noProof/>
        </w:rPr>
        <w:t>[1]</w:t>
      </w:r>
      <w:r w:rsidRPr="002F5791">
        <w:rPr>
          <w:iCs/>
          <w:lang w:val="id-ID"/>
        </w:rPr>
        <w:fldChar w:fldCharType="end"/>
      </w:r>
      <w:r w:rsidRPr="002F5791">
        <w:rPr>
          <w:iCs/>
          <w:lang w:val="en"/>
        </w:rPr>
        <w:t xml:space="preserve">. Disasters have resulted in high mortality rate, huge economic losses, and non-functioning public facilities funds due to infrastructure damage </w:t>
      </w:r>
      <w:r w:rsidRPr="002F5791">
        <w:rPr>
          <w:iCs/>
        </w:rPr>
        <w:fldChar w:fldCharType="begin" w:fldLock="1"/>
      </w:r>
      <w:r w:rsidR="00A85738">
        <w:rPr>
          <w:iCs/>
        </w:rPr>
        <w:instrText>ADDIN CSL_CITATION {"citationItems":[{"id":"ITEM-1","itemData":{"DOI":"10.3390/ijerph16071232","ISSN":"16604601","abstract":"The WHO Thematic Platform for Health Emergency and Disaster Risk Management Research Network (TPRN) was established in 2016 in response to the Sendai Framework for Disaster Risk Reduction 2015–2030. The TPRN facilitates global collaborative action for improving the scientific evidence base in health emergency and disaster risk management (Health EDRM). In 2018, the WHO convened a meeting to identify key research questions, bringing together leading experts from WHO, TPRN, World Association for Disaster and Emergency Medicine (WADEM), and the Japan International Cooperation Agency, and delegates to the Asia Pacific Conference on Disaster Medicine (APCDM). The meeting identified research questions in five major areas for Health EDRM: health data management, psychosocial management, community risk management, health workforce development, and research methods and ethics. Funding these key research questions is essential to accelerate evidence-based actions during emergencies and disasters.","author":[{"dropping-particle":"","family":"Kayano","given":"Ryoma","non-dropping-particle":"","parse-names":false,"suffix":""},{"dropping-particle":"","family":"Chan","given":"Emily Y.Y.","non-dropping-particle":"","parse-names":false,"suffix":""},{"dropping-particle":"","family":"Murray","given":"Virginia","non-dropping-particle":"","parse-names":false,"suffix":""},{"dropping-particle":"","family":"Abrahams","given":"Jonathan","non-dropping-particle":"","parse-names":false,"suffix":""},{"dropping-particle":"","family":"Barber","given":"Sarah Louise","non-dropping-particle":"","parse-names":false,"suffix":""}],"container-title":"International Journal of Environmental Research and Public Health","id":"ITEM-1","issue":"7","issued":{"date-parts":[["2019"]]},"page":"1-6","title":"WHO thematic platform for health emergency and disaster risk management research network (TPRN): Report of the kobe expert meeting","type":"article-journal","volume":"16"},"uris":["http://www.mendeley.com/documents/?uuid=d2b6132e-33aa-4519-a643-93c5c13eb28c"]}],"mendeley":{"formattedCitation":"[2]","plainTextFormattedCitation":"[2]","previouslyFormattedCitation":"[2]"},"properties":{"noteIndex":0},"schema":"https://github.com/citation-style-language/schema/raw/master/csl-citation.json"}</w:instrText>
      </w:r>
      <w:r w:rsidRPr="002F5791">
        <w:rPr>
          <w:iCs/>
        </w:rPr>
        <w:fldChar w:fldCharType="separate"/>
      </w:r>
      <w:r w:rsidR="00EB1865" w:rsidRPr="00EB1865">
        <w:rPr>
          <w:iCs/>
          <w:noProof/>
        </w:rPr>
        <w:t>[2]</w:t>
      </w:r>
      <w:r w:rsidRPr="002F5791">
        <w:rPr>
          <w:iCs/>
          <w:lang w:val="id-ID"/>
        </w:rPr>
        <w:fldChar w:fldCharType="end"/>
      </w:r>
      <w:r w:rsidRPr="002F5791">
        <w:rPr>
          <w:iCs/>
          <w:lang w:val="en"/>
        </w:rPr>
        <w:t xml:space="preserve">. In Asia, in the last five years, disasters have caused the death of 44,836 people and 1,317,527 injured and an estimated 600 million people affected globally </w:t>
      </w:r>
      <w:r w:rsidRPr="002F5791">
        <w:rPr>
          <w:iCs/>
        </w:rPr>
        <w:fldChar w:fldCharType="begin" w:fldLock="1"/>
      </w:r>
      <w:r w:rsidR="00A85738">
        <w:rPr>
          <w:iCs/>
        </w:rPr>
        <w:instrText>ADDIN CSL_CITATION {"citationItems":[{"id":"ITEM-1","itemData":{"abstract":"In 2018, there were 281 climate-related and geophysical events recorded in the EM-DAT (International Disaster Database) with 10,733 deaths, and over 60 million people affected across the world. In 2018, there were a number of major disasters in certain regions, however there were no mega-disasters which inflate yearly averages, such as the 2010 earthquake in Haiti. Globally, Indonesia recorded nearly half the total deaths from disasters in 2018, while India recorded nearly half the total number of individuals affected. The following data are events recorded in EM-DAT. As estimations become more accurate over time, figures will be adjusted, particularly for economic losses. Droughts","author":[{"dropping-particle":"","family":"CRED","given":"","non-dropping-particle":"","parse-names":false,"suffix":""},{"dropping-particle":"","family":"UNISDR","given":"","non-dropping-particle":"","parse-names":false,"suffix":""}],"container-title":"Cred","id":"ITEM-1","issued":{"date-parts":[["2019"]]},"page":"1-6","title":"2018 Review of Disaster Events","type":"article-journal"},"uris":["http://www.mendeley.com/documents/?uuid=42a50a56-079c-4017-9a5a-c69a33d7fbf0"]}],"mendeley":{"formattedCitation":"[3]","plainTextFormattedCitation":"[3]","previouslyFormattedCitation":"[3]"},"properties":{"noteIndex":0},"schema":"https://github.com/citation-style-language/schema/raw/master/csl-citation.json"}</w:instrText>
      </w:r>
      <w:r w:rsidRPr="002F5791">
        <w:rPr>
          <w:iCs/>
        </w:rPr>
        <w:fldChar w:fldCharType="separate"/>
      </w:r>
      <w:r w:rsidR="00EB1865" w:rsidRPr="00EB1865">
        <w:rPr>
          <w:iCs/>
          <w:noProof/>
        </w:rPr>
        <w:t>[3]</w:t>
      </w:r>
      <w:r w:rsidRPr="002F5791">
        <w:rPr>
          <w:iCs/>
          <w:lang w:val="id-ID"/>
        </w:rPr>
        <w:fldChar w:fldCharType="end"/>
      </w:r>
    </w:p>
    <w:p w14:paraId="33C01061" w14:textId="48DFABF0" w:rsidR="002F5791" w:rsidRPr="002F5791" w:rsidRDefault="002F5791" w:rsidP="002F5791">
      <w:pPr>
        <w:ind w:firstLine="720"/>
        <w:jc w:val="both"/>
        <w:rPr>
          <w:iCs/>
        </w:rPr>
      </w:pPr>
      <w:r w:rsidRPr="002F5791">
        <w:rPr>
          <w:iCs/>
          <w:lang w:val="en"/>
        </w:rPr>
        <w:t xml:space="preserve">In Southeast Asia, Indonesia is the only country that has very high disaster risks </w:t>
      </w:r>
      <w:r w:rsidRPr="002F5791">
        <w:rPr>
          <w:iCs/>
        </w:rPr>
        <w:fldChar w:fldCharType="begin" w:fldLock="1"/>
      </w:r>
      <w:r w:rsidR="00A85738">
        <w:rPr>
          <w:iCs/>
        </w:rPr>
        <w:instrText>ADDIN CSL_CITATION {"citationItems":[{"id":"ITEM-1","itemData":{"DOI":"10.1093/rof/rfs003","ISBN":"1572-3097\\r1573-692X","ISSN":"0306-7734","PMID":"93","abstract":"After the relatively moderate year of 2009, the extent of the impact of natural disasters1 took a turn for the worse in 2010. A total of 385 natural disasters killed more than 297 000 people worldwide, affected over 217.0 million others and caused US 123.9 billion of economic damages. Haiti suffered 222 570 fatalities2 and had over 39.1% of its population or a total of 3.9 million victims affected by the January 12th, 2010 earthquake. Besides Haiti, many deaths were reported in Russia3, which was affected by extreme temperatures, floods and wildfires, adding up to a total of 55 800 deaths. Most fatalities were due to the heat wave that occurred from June to August. These two mega-disasters made 2010 the deadliest year in at least two decades. In 2010, the number of reported disasters approximated the annual average disaster occurrence during 2000 to 2009 (387). The number of victims increased from 198.7 million in 2009 to 217.3 million in 2010, but remained below the annual average number of victims of 227.5 million during 2000 to 2009 (see Figure 1). Economic damages from natural disasters in 2010 were over 2.5 times higher than in 2009 (US 47.6 billion), and increased by 25.3% compared to the annual average for the period 2000-2009 (US 98.9 billion). When looking at the decade, damages in 2010 ranked fourth, only surpassed in 2004 (mainly due to the Niigata-ken earthquake in Japan), in 2005 (hurricanes 'Katrina', 'Rita' and 'Wilma' in Northern and Central America and the Caribbean) and in 2008 (Sichuan earthquake in China). The Chilean earthquake of February 27th, 2010 ranked highest in terms of economic damages caused by natural disasters, with US 30.0 billion damages or a share of 24.2% of the global reported damages in 2010. Ranked second, the floods and landslides in China from May to August cost US 18.0 billion. The Haiti earthquake was especially destructive in view of the countrys already impoverished economy. The costs of this earthquake (US 8.0 billion) surpassed Haitis GDP. Globally, more hydrological disasters were reported in 2010. However, as meteorological disaster occurrence was lower, it evened out an increase in disaster occurrence in 2010. Similar to the average over the last decade, hydrological disasters were by far the most abundant disasters in 2010. These disasters represented 56.1% of the total disaster occurrence in 2010, and together with meteorological disasters - the second-most frequent disasters - accounted for 79.0% of t…","author":[{"dropping-particle":"","family":"Guha-Sapir","given":"Debarati","non-dropping-particle":"","parse-names":false,"suffix":""},{"dropping-particle":"","family":"Hoyois","given":"Philippe","non-dropping-particle":"","parse-names":false,"suffix":""},{"dropping-particle":"","family":"Wallemacq","given":"Pascaline","non-dropping-particle":"","parse-names":false,"suffix":""},{"dropping-particle":"","family":"Below","given":"Regina","non-dropping-particle":"","parse-names":false,"suffix":""}],"id":"ITEM-1","issued":{"date-parts":[["2016"]]},"number-of-pages":"1-50","publisher":"The Centre for Research on the Epidemiology of Disasters (CRED)","publisher-place":"Brussels","title":"Annual Disaster Statistical Review 2016: The numbers and trends","type":"book"},"uris":["http://www.mendeley.com/documents/?uuid=f42ff87f-701c-4adb-81cf-68c81921ad79"]}],"mendeley":{"formattedCitation":"[4]","plainTextFormattedCitation":"[4]","previouslyFormattedCitation":"[4]"},"properties":{"noteIndex":0},"schema":"https://github.com/citation-style-language/schema/raw/master/csl-citation.json"}</w:instrText>
      </w:r>
      <w:r w:rsidRPr="002F5791">
        <w:rPr>
          <w:iCs/>
        </w:rPr>
        <w:fldChar w:fldCharType="separate"/>
      </w:r>
      <w:r w:rsidR="00EB1865" w:rsidRPr="00EB1865">
        <w:rPr>
          <w:iCs/>
          <w:noProof/>
        </w:rPr>
        <w:t>[4]</w:t>
      </w:r>
      <w:r w:rsidRPr="002F5791">
        <w:rPr>
          <w:iCs/>
          <w:lang w:val="id-ID"/>
        </w:rPr>
        <w:fldChar w:fldCharType="end"/>
      </w:r>
      <w:r w:rsidRPr="002F5791">
        <w:rPr>
          <w:iCs/>
          <w:lang w:val="en"/>
        </w:rPr>
        <w:t xml:space="preserve">. Geographically, Indonesia, crossed by the world's large plates, has high disaster risks </w:t>
      </w:r>
      <w:r w:rsidRPr="002F5791">
        <w:rPr>
          <w:iCs/>
        </w:rPr>
        <w:fldChar w:fldCharType="begin" w:fldLock="1"/>
      </w:r>
      <w:r w:rsidR="00A85738">
        <w:rPr>
          <w:iCs/>
        </w:rPr>
        <w:instrText>ADDIN CSL_CITATION {"citationItems":[{"id":"ITEM-1","itemData":{"DOI":"10.1007/978-1-4020-4399-4_92","ISBN":"978-3-319-54466-3","ISSN":"1871756X","abstract":"The emerging emphasis on disaster risk reduction has broadened the range of experts whose knowledge must be garnered to resolve complex socio-technical challenges. This paper examines the role and position of the construction sector for addressing these concerns. Specifically, it examines the recursive nature of practices within the built environment, which can be seen as deeply ingraining fragmented approaches to the development process. These, in turn, render the industry a difficult arena within which to enact structural and cultural change. Based on a wide body of literature on resiliency a set of overarching principles are proffered to help inform efforts to overcome some of the barriers to creating a more resilient built environment. It is argued that these principles offer a point of departure for embedding resilience considerations at both project and institutional levels, although real change would demand challenging some of the conventions that currently underpin construction development.","author":[{"dropping-particle":"","family":"Djalante","given":"Riyanti.","non-dropping-particle":"","parse-names":false,"suffix":""},{"dropping-particle":"","family":"Garschagen","given":"Matthias.","non-dropping-particle":"","parse-names":false,"suffix":""},{"dropping-particle":"","family":"Thomalla","given":"Frank.","non-dropping-particle":"","parse-names":false,"suffix":""},{"dropping-particle":"","family":"Shaw","given":"Rajib.","non-dropping-particle":"","parse-names":false,"suffix":""}],"container-title":"Encyclopedia of Earth Sciences Series","edition":"1","id":"ITEM-1","issued":{"date-parts":[["2017"]]},"number-of-pages":"170-175","publisher":"Springer Publishing Company, LLC","publisher-place":"Gewerbestrasse, Switzerland","title":"Disaster Risk Reduction in Indonesia Progress, Challenges, and Issues","type":"book"},"uris":["http://www.mendeley.com/documents/?uuid=392c0a98-8c70-4333-a961-de3b7dae8464"]}],"mendeley":{"formattedCitation":"[5]","plainTextFormattedCitation":"[5]","previouslyFormattedCitation":"[5]"},"properties":{"noteIndex":0},"schema":"https://github.com/citation-style-language/schema/raw/master/csl-citation.json"}</w:instrText>
      </w:r>
      <w:r w:rsidRPr="002F5791">
        <w:rPr>
          <w:iCs/>
        </w:rPr>
        <w:fldChar w:fldCharType="separate"/>
      </w:r>
      <w:r w:rsidR="00EB1865" w:rsidRPr="00EB1865">
        <w:rPr>
          <w:iCs/>
          <w:noProof/>
        </w:rPr>
        <w:t>[5]</w:t>
      </w:r>
      <w:r w:rsidRPr="002F5791">
        <w:rPr>
          <w:iCs/>
          <w:lang w:val="id-ID"/>
        </w:rPr>
        <w:fldChar w:fldCharType="end"/>
      </w:r>
      <w:r w:rsidRPr="002F5791">
        <w:rPr>
          <w:iCs/>
          <w:lang w:val="en"/>
        </w:rPr>
        <w:t xml:space="preserve">. West Nusa Tenggara is one of Indonesian regions vulnerable to disasters </w:t>
      </w:r>
      <w:r w:rsidRPr="002F5791">
        <w:rPr>
          <w:iCs/>
        </w:rPr>
        <w:fldChar w:fldCharType="begin" w:fldLock="1"/>
      </w:r>
      <w:r w:rsidR="00A85738">
        <w:rPr>
          <w:iCs/>
        </w:rPr>
        <w:instrText>ADDIN CSL_CITATION {"citationItems":[{"id":"ITEM-1","itemData":{"author":[{"dropping-particle":"","family":"Mueck","given":"Matthias","non-dropping-particle":"","parse-names":false,"suffix":""}],"id":"ITEM-1","issued":{"date-parts":[["2013"]]},"publisher":"Protects","publisher-place":"Mataram, Indonesia","title":"Peta-Peta Bahaya Tsunami untuk Lombok Dokumentasi Teknis","type":"book"},"uris":["http://www.mendeley.com/documents/?uuid=af43dad3-5299-44ef-ac11-b944ac45b77a"]}],"mendeley":{"formattedCitation":"[6]","plainTextFormattedCitation":"[6]","previouslyFormattedCitation":"[6]"},"properties":{"noteIndex":0},"schema":"https://github.com/citation-style-language/schema/raw/master/csl-citation.json"}</w:instrText>
      </w:r>
      <w:r w:rsidRPr="002F5791">
        <w:rPr>
          <w:iCs/>
        </w:rPr>
        <w:fldChar w:fldCharType="separate"/>
      </w:r>
      <w:r w:rsidR="00EB1865" w:rsidRPr="00EB1865">
        <w:rPr>
          <w:iCs/>
          <w:noProof/>
        </w:rPr>
        <w:t>[6]</w:t>
      </w:r>
      <w:r w:rsidRPr="002F5791">
        <w:rPr>
          <w:iCs/>
          <w:lang w:val="id-ID"/>
        </w:rPr>
        <w:fldChar w:fldCharType="end"/>
      </w:r>
      <w:r w:rsidRPr="002F5791">
        <w:rPr>
          <w:iCs/>
          <w:lang w:val="en"/>
        </w:rPr>
        <w:t xml:space="preserve">. Natural disasters that can potentially occur in West Nusa Tenggara are volcanic activities, floods, earthquakes, forest fires, drought, and landslides </w:t>
      </w:r>
      <w:r w:rsidRPr="002F5791">
        <w:rPr>
          <w:iCs/>
        </w:rPr>
        <w:fldChar w:fldCharType="begin" w:fldLock="1"/>
      </w:r>
      <w:r w:rsidR="00A85738">
        <w:rPr>
          <w:iCs/>
        </w:rPr>
        <w:instrText>ADDIN CSL_CITATION {"citationItems":[{"id":"ITEM-1","itemData":{"abstract":"Direktorat Tata Ruang dan Pertanahan,","author":[{"dropping-particle":"","family":"BNPB","given":"","non-dropping-particle":"","parse-names":false,"suffix":""},{"dropping-particle":"","family":"Bappenas","given":"","non-dropping-particle":"","parse-names":false,"suffix":""},{"dropping-particle":"","family":"United Nations Development Programme","given":"","non-dropping-particle":"","parse-names":false,"suffix":""}],"id":"ITEM-1","issued":{"date-parts":[["2014"]]},"publisher":"Direktorat Tata Ruang dan Pertanahan Kementerian Perencanaan Pembangunan Nasional","publisher-place":"Jakarta","title":"Materi Teknis Revisi Pedoman Penyusunan Rencana Tata Ruang Berdasarkan Perspektif Pengurangan Risiko Bencana","type":"book"},"uris":["http://www.mendeley.com/documents/?uuid=e5c40ba7-2550-42fc-85e8-466a1c9f724b"]}],"mendeley":{"formattedCitation":"[7]","plainTextFormattedCitation":"[7]","previouslyFormattedCitation":"[7]"},"properties":{"noteIndex":0},"schema":"https://github.com/citation-style-language/schema/raw/master/csl-citation.json"}</w:instrText>
      </w:r>
      <w:r w:rsidRPr="002F5791">
        <w:rPr>
          <w:iCs/>
        </w:rPr>
        <w:fldChar w:fldCharType="separate"/>
      </w:r>
      <w:r w:rsidR="00EB1865" w:rsidRPr="00EB1865">
        <w:rPr>
          <w:iCs/>
          <w:noProof/>
        </w:rPr>
        <w:t>[7]</w:t>
      </w:r>
      <w:r w:rsidRPr="002F5791">
        <w:rPr>
          <w:iCs/>
          <w:lang w:val="id-ID"/>
        </w:rPr>
        <w:fldChar w:fldCharType="end"/>
      </w:r>
      <w:r w:rsidRPr="002F5791">
        <w:rPr>
          <w:iCs/>
        </w:rPr>
        <w:t xml:space="preserve">. </w:t>
      </w:r>
      <w:r w:rsidRPr="002F5791">
        <w:rPr>
          <w:iCs/>
          <w:lang w:val="en"/>
        </w:rPr>
        <w:t xml:space="preserve">One of major disasters in NTB is earthquakes that occurred in mid-2018 </w:t>
      </w:r>
      <w:r w:rsidRPr="002F5791">
        <w:rPr>
          <w:iCs/>
        </w:rPr>
        <w:fldChar w:fldCharType="begin" w:fldLock="1"/>
      </w:r>
      <w:r w:rsidR="00A85738">
        <w:rPr>
          <w:iCs/>
        </w:rPr>
        <w:instrText>ADDIN CSL_CITATION {"citationItems":[{"id":"ITEM-1","itemData":{"author":[{"dropping-particle":"","family":"Buana","given":"Lalu Aliyya Tirangga Aji","non-dropping-particle":"","parse-names":false,"suffix":""},{"dropping-particle":"","family":"Samodra","given":"Saptono Budi","non-dropping-particle":"","parse-names":false,"suffix":""},{"dropping-particle":"","family":"Arifianto","given":"Indra","non-dropping-particle":"","parse-names":false,"suffix":""}],"container-title":"Prosiding Seminar Nasional Kebumian Ke-12 Teknik Geologi, Fakultas Teknik, Universitas Gadjah Mada","id":"ITEM-1","issued":{"date-parts":[["2019"]]},"publisher":"Departemen Teknik Geologi","title":"Mikrozonasi Bahaya Gempabumi Menggunakan Analisis Mikrotremor Metode HVSR di Kawasan Wisata Sembalun, Kabupaten Lombok Timur, Provinsi Nusa Tenggara Barat","type":"paper-conference"},"uris":["http://www.mendeley.com/documents/?uuid=7e77cad8-e57a-4bc2-8888-97d2657143bb"]}],"mendeley":{"formattedCitation":"[8]","plainTextFormattedCitation":"[8]","previouslyFormattedCitation":"[8]"},"properties":{"noteIndex":0},"schema":"https://github.com/citation-style-language/schema/raw/master/csl-citation.json"}</w:instrText>
      </w:r>
      <w:r w:rsidRPr="002F5791">
        <w:rPr>
          <w:iCs/>
        </w:rPr>
        <w:fldChar w:fldCharType="separate"/>
      </w:r>
      <w:r w:rsidR="00EB1865" w:rsidRPr="00EB1865">
        <w:rPr>
          <w:iCs/>
          <w:noProof/>
        </w:rPr>
        <w:t>[8]</w:t>
      </w:r>
      <w:r w:rsidRPr="002F5791">
        <w:rPr>
          <w:iCs/>
          <w:lang w:val="id-ID"/>
        </w:rPr>
        <w:fldChar w:fldCharType="end"/>
      </w:r>
      <w:r w:rsidRPr="002F5791">
        <w:rPr>
          <w:iCs/>
        </w:rPr>
        <w:t>.</w:t>
      </w:r>
    </w:p>
    <w:p w14:paraId="6A411DB8" w14:textId="08D4D1F8" w:rsidR="002F5791" w:rsidRPr="002F5791" w:rsidRDefault="002F5791" w:rsidP="002F5791">
      <w:pPr>
        <w:ind w:firstLine="720"/>
        <w:jc w:val="both"/>
        <w:rPr>
          <w:iCs/>
        </w:rPr>
      </w:pPr>
      <w:r w:rsidRPr="002F5791">
        <w:rPr>
          <w:iCs/>
          <w:lang w:val="en"/>
        </w:rPr>
        <w:t xml:space="preserve">Good disaster management for rescuing victims and rehabilitation </w:t>
      </w:r>
      <w:proofErr w:type="spellStart"/>
      <w:r w:rsidRPr="002F5791">
        <w:rPr>
          <w:iCs/>
          <w:lang w:val="en"/>
        </w:rPr>
        <w:t>depens</w:t>
      </w:r>
      <w:proofErr w:type="spellEnd"/>
      <w:r w:rsidRPr="002F5791">
        <w:rPr>
          <w:iCs/>
          <w:lang w:val="en"/>
        </w:rPr>
        <w:t xml:space="preserve"> on the role of hospitals and health workers </w:t>
      </w:r>
      <w:r w:rsidRPr="002F5791">
        <w:rPr>
          <w:iCs/>
        </w:rPr>
        <w:fldChar w:fldCharType="begin" w:fldLock="1"/>
      </w:r>
      <w:r w:rsidR="00A85738">
        <w:rPr>
          <w:iCs/>
        </w:rPr>
        <w:instrText>ADDIN CSL_CITATION {"citationItems":[{"id":"ITEM-1","itemData":{"author":[{"dropping-particle":"","family":"Widayatun","given":"","non-dropping-particle":"","parse-names":false,"suffix":""},{"dropping-particle":"","family":"Fatoni","given":"Zainal","non-dropping-particle":"","parse-names":false,"suffix":""}],"container-title":"Jurnal Kependudukan Indonesia","id":"ITEM-1","issue":"1","issued":{"date-parts":[["2013"]]},"title":"Peran Petugas Kesehatan dan Partisipasi Masyarakat","type":"article-journal","volume":"8"},"uris":["http://www.mendeley.com/documents/?uuid=7b74f5b4-56b5-460d-802d-49c0a0898269"]}],"mendeley":{"formattedCitation":"[9]","plainTextFormattedCitation":"[9]","previouslyFormattedCitation":"[9]"},"properties":{"noteIndex":0},"schema":"https://github.com/citation-style-language/schema/raw/master/csl-citation.json"}</w:instrText>
      </w:r>
      <w:r w:rsidRPr="002F5791">
        <w:rPr>
          <w:iCs/>
        </w:rPr>
        <w:fldChar w:fldCharType="separate"/>
      </w:r>
      <w:r w:rsidR="00EB1865" w:rsidRPr="00EB1865">
        <w:rPr>
          <w:iCs/>
          <w:noProof/>
        </w:rPr>
        <w:t>[9]</w:t>
      </w:r>
      <w:r w:rsidRPr="002F5791">
        <w:rPr>
          <w:iCs/>
          <w:lang w:val="id-ID"/>
        </w:rPr>
        <w:fldChar w:fldCharType="end"/>
      </w:r>
      <w:r w:rsidRPr="002F5791">
        <w:rPr>
          <w:iCs/>
        </w:rPr>
        <w:t xml:space="preserve">. In the health care sector, nurses play an important role </w:t>
      </w:r>
      <w:r w:rsidRPr="002F5791">
        <w:rPr>
          <w:iCs/>
          <w:lang w:val="en"/>
        </w:rPr>
        <w:t xml:space="preserve">and will be at the forefront of every disaster emergency response </w:t>
      </w:r>
      <w:r w:rsidRPr="002F5791">
        <w:rPr>
          <w:iCs/>
        </w:rPr>
        <w:fldChar w:fldCharType="begin" w:fldLock="1"/>
      </w:r>
      <w:r w:rsidR="00A85738">
        <w:rPr>
          <w:iCs/>
        </w:rPr>
        <w:instrText>ADDIN CSL_CITATION {"citationItems":[{"id":"ITEM-1","itemData":{"ISBN":"9780826108647","author":[{"dropping-particle":"","family":"Veenerma","given":"Tener G.","non-dropping-particle":"","parse-names":false,"suffix":""}],"edition":"3","id":"ITEM-1","issue":"November","issued":{"date-parts":[["2015"]]},"publisher":"Springer Publishing Company, LLC","publisher-place":"New York","title":"Disaster Nursing And Emergency Preparedness For Chemical , Biological , And Radiological Terrorism And Other Hazards","type":"book"},"uris":["http://www.mendeley.com/documents/?uuid=5f0902ec-2662-49bf-a1a2-09f39c84e733"]}],"mendeley":{"formattedCitation":"[10]","plainTextFormattedCitation":"[10]","previouslyFormattedCitation":"[10]"},"properties":{"noteIndex":0},"schema":"https://github.com/citation-style-language/schema/raw/master/csl-citation.json"}</w:instrText>
      </w:r>
      <w:r w:rsidRPr="002F5791">
        <w:rPr>
          <w:iCs/>
        </w:rPr>
        <w:fldChar w:fldCharType="separate"/>
      </w:r>
      <w:r w:rsidR="00EB1865" w:rsidRPr="00EB1865">
        <w:rPr>
          <w:iCs/>
          <w:noProof/>
        </w:rPr>
        <w:t>[10]</w:t>
      </w:r>
      <w:r w:rsidRPr="002F5791">
        <w:rPr>
          <w:iCs/>
          <w:lang w:val="id-ID"/>
        </w:rPr>
        <w:fldChar w:fldCharType="end"/>
      </w:r>
      <w:r w:rsidRPr="002F5791">
        <w:rPr>
          <w:iCs/>
        </w:rPr>
        <w:t>.</w:t>
      </w:r>
      <w:r w:rsidRPr="002F5791">
        <w:rPr>
          <w:iCs/>
          <w:lang w:val="en"/>
        </w:rPr>
        <w:t xml:space="preserve"> However, several studies have revealed that the preparedness of nurses is still low and most nurses are not confident in responding effectively to every disaster </w:t>
      </w:r>
      <w:r w:rsidRPr="002F5791">
        <w:rPr>
          <w:iCs/>
        </w:rPr>
        <w:fldChar w:fldCharType="begin" w:fldLock="1"/>
      </w:r>
      <w:r w:rsidR="00A85738">
        <w:rPr>
          <w:iCs/>
        </w:rPr>
        <w:instrText>ADDIN CSL_CITATION {"citationItems":[{"id":"ITEM-1","itemData":{"DOI":"10.1111/nhs.12211","ISSN":"14422018","abstract":"© 2015 Wiley Publishing Asia Pty Ltd. Healthcare workers who have received disaster preparedness education are more likely to report a greater understanding of disaster preparedness. However, research indicates that current nursing curricula do not adequately prepare nurses to respond to disasters. This is the first study to assess Asia-Pacific nurses' perceptions about their level of disaster knowledge, skills, and preparedness. A cross-sectional survey was conducted with 757 hospital and community nurses in seven Asia-Pacific countries. Data were collected using the modified Disaster Preparedness Evaluation Tool. Participants were found to have overall low-to-moderate levels of disaster knowledge, skills and preparedness, wherein important gaps were identified. A majority of the variance in disaster preparedness scores was located at the level of the individual respondent, not linked to countries or institutions. Multilevel random effects modelling identified disaster experience and education as significant factors of positive perceptions of disaster knowledge, skills, and management. The first step toward disaster preparedness is to ensure frontline health workers are able to respond effectively to disaster events. The outcomes of this study have important policy and education implications.","author":[{"dropping-particle":"","family":"Usher","given":"Kim","non-dropping-particle":"","parse-names":false,"suffix":""},{"dropping-particle":"","family":"Mills","given":"Jane","non-dropping-particle":"","parse-names":false,"suffix":""},{"dropping-particle":"","family":"West","given":"Caryn","non-dropping-particle":"","parse-names":false,"suffix":""},{"dropping-particle":"","family":"Casella","given":"Evan","non-dropping-particle":"","parse-names":false,"suffix":""},{"dropping-particle":"","family":"Dorji","given":"Passang","non-dropping-particle":"","parse-names":false,"suffix":""},{"dropping-particle":"","family":"Guo","given":"Aimin","non-dropping-particle":"","parse-names":false,"suffix":""},{"dropping-particle":"","family":"Koy","given":"Virya","non-dropping-particle":"","parse-names":false,"suffix":""},{"dropping-particle":"","family":"Pego","given":"George","non-dropping-particle":"","parse-names":false,"suffix":""},{"dropping-particle":"","family":"Phanpaseuth","given":"Souksavanh","non-dropping-particle":"","parse-names":false,"suffix":""},{"dropping-particle":"","family":"Phouthavong","given":"Olaphim","non-dropping-particle":"","parse-names":false,"suffix":""},{"dropping-particle":"","family":"Sayami","given":"Jamuna","non-dropping-particle":"","parse-names":false,"suffix":""},{"dropping-particle":"","family":"Lak","given":"Muy Seang","non-dropping-particle":"","parse-names":false,"suffix":""},{"dropping-particle":"","family":"Sio","given":"Alison","non-dropping-particle":"","parse-names":false,"suffix":""},{"dropping-particle":"","family":"Ullah","given":"Mohammad Mofiz","non-dropping-particle":"","parse-names":false,"suffix":""},{"dropping-particle":"","family":"Sheng","given":"Yu","non-dropping-particle":"","parse-names":false,"suffix":""},{"dropping-particle":"","family":"Zang","given":"Yuli","non-dropping-particle":"","parse-names":false,"suffix":""},{"dropping-particle":"","family":"Buettner","given":"Petra","non-dropping-particle":"","parse-names":false,"suffix":""},{"dropping-particle":"","family":"Woods","given":"Cindy","non-dropping-particle":"","parse-names":false,"suffix":""}],"container-title":"Nursing and Health Sciences","id":"ITEM-1","issue":"4","issued":{"date-parts":[["2015"]]},"page":"434-443","title":"Cross-sectional survey of the disaster preparedness of nurses across the Asia-Pacific region","type":"article-journal","volume":"17"},"uris":["http://www.mendeley.com/documents/?uuid=f2ffaedd-e84e-4653-9a64-65945cd7c276"]}],"mendeley":{"formattedCitation":"[11]","plainTextFormattedCitation":"[11]","previouslyFormattedCitation":"[11]"},"properties":{"noteIndex":0},"schema":"https://github.com/citation-style-language/schema/raw/master/csl-citation.json"}</w:instrText>
      </w:r>
      <w:r w:rsidRPr="002F5791">
        <w:rPr>
          <w:iCs/>
        </w:rPr>
        <w:fldChar w:fldCharType="separate"/>
      </w:r>
      <w:r w:rsidR="00EB1865" w:rsidRPr="00EB1865">
        <w:rPr>
          <w:iCs/>
          <w:noProof/>
        </w:rPr>
        <w:t>[11]</w:t>
      </w:r>
      <w:r w:rsidRPr="002F5791">
        <w:rPr>
          <w:iCs/>
          <w:lang w:val="id-ID"/>
        </w:rPr>
        <w:fldChar w:fldCharType="end"/>
      </w:r>
      <w:r w:rsidRPr="002F5791">
        <w:rPr>
          <w:iCs/>
        </w:rPr>
        <w:t xml:space="preserve">. </w:t>
      </w:r>
      <w:r w:rsidRPr="002F5791">
        <w:rPr>
          <w:iCs/>
          <w:lang w:val="en"/>
        </w:rPr>
        <w:t xml:space="preserve">Nurses do not know their role in disaster management </w:t>
      </w:r>
      <w:r w:rsidRPr="002F5791">
        <w:rPr>
          <w:iCs/>
        </w:rPr>
        <w:fldChar w:fldCharType="begin" w:fldLock="1"/>
      </w:r>
      <w:r w:rsidR="00A85738">
        <w:rPr>
          <w:iCs/>
        </w:rPr>
        <w:instrText>ADDIN CSL_CITATION {"citationItems":[{"id":"ITEM-1","itemData":{"DOI":"10.1111/jjns.12121","ISSN":"17427924","abstract":"AIM: The objective of this study was to explore nurses' perceptions regarding their knowledge, skills, and preparedness for disasters and how they acquired their knowledge about disaster preparation using a quantitative approach.\\n\\nMETHODS: A descriptive cross-sectional survey using the Disaster Preparedness Evaluation Tool was distributed to nurses in six hospitals (three private, three public) throughout Miyazaki Prefecture located in southern Japan.\\n\\nRESULTS: Nine hundred and seventy-three surveys (87.4%) were returned. Seventy-two were eliminated leaving 902 (81.0%) for data analysis. Mean scores for preparedness, response abilities, and evaluation all scored below normal on a 6 point Likert scale (2.63, 2.02, and 2.05, respectively). Overall, nurses felt they were not able to respond in a variety of disaster situations, were aware of their workplace emergency disaster plan, but did not think they could execute them, and were not aware of the level of preparedness of the healthcare systems in their communities.\\n\\nCONCLUSION: The amount of information nurses need to know on the knowledge, skills, and preparation of disasters are in great need. Such skills are understood, but lacking for various reasons. In-house programs for nurses to learn more about disaster nursing are needed. Furthermore, a curriculum for disaster preparedness for undergraduate and graduate nursing programs would also help these future nurses gain more information earlier on to better prepare them for possible disaster situations in their future careers.","author":[{"dropping-particle":"","family":"Öztekin","given":"Seher Deniz","non-dropping-particle":"","parse-names":false,"suffix":""},{"dropping-particle":"","family":"Larson","given":"Eric E.","non-dropping-particle":"","parse-names":false,"suffix":""},{"dropping-particle":"","family":"Akahoshi","given":"Makoto","non-dropping-particle":"","parse-names":false,"suffix":""},{"dropping-particle":"","family":"Öztekin","given":"İlhan","non-dropping-particle":"","parse-names":false,"suffix":""}],"container-title":"Japan Journal of Nursing Science","id":"ITEM-1","issue":"3","issued":{"date-parts":[["2016"]]},"title":"Japanese nurses' perception of their preparedness for disasters: Quantitative survey research on one prefecture in Japan","type":"article-journal","volume":"13"},"uris":["http://www.mendeley.com/documents/?uuid=00e9127f-ec11-32ff-9e43-712eed803d55"]}],"mendeley":{"formattedCitation":"[12]","plainTextFormattedCitation":"[12]","previouslyFormattedCitation":"[12]"},"properties":{"noteIndex":0},"schema":"https://github.com/citation-style-language/schema/raw/master/csl-citation.json"}</w:instrText>
      </w:r>
      <w:r w:rsidRPr="002F5791">
        <w:rPr>
          <w:iCs/>
        </w:rPr>
        <w:fldChar w:fldCharType="separate"/>
      </w:r>
      <w:r w:rsidR="00EB1865" w:rsidRPr="00EB1865">
        <w:rPr>
          <w:iCs/>
          <w:noProof/>
        </w:rPr>
        <w:t>[12]</w:t>
      </w:r>
      <w:r w:rsidRPr="002F5791">
        <w:rPr>
          <w:iCs/>
          <w:lang w:val="id-ID"/>
        </w:rPr>
        <w:fldChar w:fldCharType="end"/>
      </w:r>
      <w:r w:rsidRPr="002F5791">
        <w:rPr>
          <w:iCs/>
        </w:rPr>
        <w:t xml:space="preserve">. </w:t>
      </w:r>
    </w:p>
    <w:p w14:paraId="5F1E1CCB" w14:textId="3D1D9E42" w:rsidR="002F5791" w:rsidRPr="002F5791" w:rsidRDefault="002F5791" w:rsidP="002F5791">
      <w:pPr>
        <w:ind w:firstLine="720"/>
        <w:jc w:val="both"/>
        <w:rPr>
          <w:iCs/>
        </w:rPr>
      </w:pPr>
      <w:r w:rsidRPr="002F5791">
        <w:rPr>
          <w:iCs/>
        </w:rPr>
        <w:lastRenderedPageBreak/>
        <w:t>Availability of functional facilities such as availability of internal circulation and interoperability, availability of basic equipment and supplies, hospital emergency management guidelines, hospital emergency management guidelines, operational plans for internal and external disasters, safety and security systems (hospital alarms), hospital transportation, communication, and information management networks, Hospital Emergency Operations Center, human resource training and monitoring &amp; evaluation are very important points in preparing hospitals for disasters</w:t>
      </w:r>
      <w:r w:rsidRPr="002F5791" w:rsidDel="00BC618F">
        <w:rPr>
          <w:iCs/>
        </w:rPr>
        <w:t xml:space="preserve"> </w:t>
      </w:r>
      <w:r w:rsidRPr="002F5791">
        <w:rPr>
          <w:iCs/>
        </w:rPr>
        <w:fldChar w:fldCharType="begin" w:fldLock="1"/>
      </w:r>
      <w:r w:rsidR="00A85738">
        <w:rPr>
          <w:iCs/>
        </w:rPr>
        <w:instrText>ADDIN CSL_CITATION {"citationItems":[{"id":"ITEM-1","itemData":{"DOI":"10.1016/j.proeng.2018.01.048","ISSN":"18777058","abstract":"Disaster resilience hospital (DRH) is the hospital's ability to resist, absorb, accommodate and recover from the effects of a hazard in a timely and efficient manner. DRH includes the preservation and restoration of the hospital's essential basic structures and functions. Resilience (i.e. robustness; redundancy; resourcefulness; and rapidity) could be achieved through enhancement of preparedness attributes in terms of structural, non-structural and functional measures. However, over the past few years there is a growing body of evidence to show that the impacts of disasters are affecting negatively towards public hospitals in Malaysia. It is believed that to a certain extent the preparedness attributes of hospitals towards disaster resilience are insufficient. Hence, the purpose of this paper is twofold: to investigate the hospital preparedness attributes and resilience indicators; and to establish relationship of preparedness attributes towards hospital's resilience. Cross-sectional survey was conducted among twenty six (26) Malaysian hospitals' staff. A total 243 preparedness attributes (structural- 21; non-structural-107; and functional-115) and 23 resilience indicators (robustness- 5; redundancy-5; resourcefulness-6; and rapidity-7) were subjected to non-parametric Spearman Correlation. The results revealed that 17 preparedness attributes and 23 resilience indicators are rated 'very critical' by the respondents by which human resources &amp; training and ability to adapt in a timely manner are ranked first. In addition, non-structural preparedness presented greater strength of correlation towards robustness; redundancy; and resourcefulness. On the contrary, the functional attributes showed higher correlation towards rapidity. The results could serve as indicators for the public hospital's stakeholders in Malaysia to improve its preparedness and enhancing its resilience.","author":[{"dropping-particle":"","family":"Samsuddin","given":"Nor Malyana","non-dropping-particle":"","parse-names":false,"suffix":""},{"dropping-particle":"","family":"Takim","given":"Roshana","non-dropping-particle":"","parse-names":false,"suffix":""},{"dropping-particle":"","family":"Nawawi","given":"Abdul Hadi","non-dropping-particle":"","parse-names":false,"suffix":""},{"dropping-particle":"","family":"Syed Alwee","given":"Sharifah Nur Aina","non-dropping-particle":"","parse-names":false,"suffix":""}],"container-title":"Procedia Engineering","id":"ITEM-1","issue":"2017","issued":{"date-parts":[["2018"]]},"page":"371-378","publisher":"Elsevier B.V.","title":"Disaster Preparedness Attributes and Hospital's Resilience in Malaysia","type":"article-journal","volume":"212"},"uris":["http://www.mendeley.com/documents/?uuid=e3e273ee-f4cb-46e5-affb-cb6890af2b6f"]}],"mendeley":{"formattedCitation":"[13]","plainTextFormattedCitation":"[13]","previouslyFormattedCitation":"[13]"},"properties":{"noteIndex":0},"schema":"https://github.com/citation-style-language/schema/raw/master/csl-citation.json"}</w:instrText>
      </w:r>
      <w:r w:rsidRPr="002F5791">
        <w:rPr>
          <w:iCs/>
        </w:rPr>
        <w:fldChar w:fldCharType="separate"/>
      </w:r>
      <w:r w:rsidR="00EB1865" w:rsidRPr="00EB1865">
        <w:rPr>
          <w:iCs/>
          <w:noProof/>
        </w:rPr>
        <w:t>[13]</w:t>
      </w:r>
      <w:r w:rsidRPr="002F5791">
        <w:rPr>
          <w:iCs/>
          <w:lang w:val="id-ID"/>
        </w:rPr>
        <w:fldChar w:fldCharType="end"/>
      </w:r>
      <w:r w:rsidRPr="002F5791">
        <w:rPr>
          <w:iCs/>
        </w:rPr>
        <w:t xml:space="preserve">. Health cluster resilience, especially hospital resilience, is very important because it minimizes the impact of disasters on the society and the resilience of officers in disaster management preparedness, especially emergency room nurses </w:t>
      </w:r>
      <w:r w:rsidRPr="002F5791">
        <w:rPr>
          <w:iCs/>
        </w:rPr>
        <w:fldChar w:fldCharType="begin" w:fldLock="1"/>
      </w:r>
      <w:r w:rsidR="00A85738">
        <w:rPr>
          <w:iCs/>
        </w:rPr>
        <w:instrText>ADDIN CSL_CITATION {"citationItems":[{"id":"ITEM-1","itemData":{"DOI":"10.1186/s12913-018-3609-5","ISBN":"1291301836095","author":[{"dropping-particle":"","family":"Wallis","given":"Lee A.","non-dropping-particle":"","parse-names":false,"suffix":""},{"dropping-particle":"","family":"Sawe","given":"Hendry R.","non-dropping-particle":"","parse-names":false,"suffix":""},{"dropping-particle":"","family":"Mwafongo","given":"Victor G.","non-dropping-particle":"","parse-names":false,"suffix":""},{"dropping-particle":"","family":"Mfinanga","given":"Juma A.","non-dropping-particle":"","parse-names":false,"suffix":""},{"dropping-particle":"","family":"Mbaya","given":"Khalid R.","non-dropping-particle":"","parse-names":false,"suffix":""},{"dropping-particle":"","family":"Reynolds","given":"Teri A.","non-dropping-particle":"","parse-names":false,"suffix":""},{"dropping-particle":"","family":"Koka","given":"Philip M.","non-dropping-particle":"","parse-names":false,"suffix":""},{"dropping-particle":"","family":"Kilindimo","given":"Said S.","non-dropping-particle":"","parse-names":false,"suffix":""}],"container-title":"BMC Health Services Research","id":"ITEM-1","issue":"1","issued":{"date-parts":[["2018"]]},"page":"1-7","publisher":"BMC Health Services Research","title":"Disaster preparedness and response capacity of regional hospitals in Tanzania: a descriptive cross-sectional study","type":"article-journal","volume":"18"},"uris":["http://www.mendeley.com/documents/?uuid=447aad9d-a9b8-4646-a04e-b6487ece5b2d"]}],"mendeley":{"formattedCitation":"[14]","plainTextFormattedCitation":"[14]","previouslyFormattedCitation":"[14]"},"properties":{"noteIndex":0},"schema":"https://github.com/citation-style-language/schema/raw/master/csl-citation.json"}</w:instrText>
      </w:r>
      <w:r w:rsidRPr="002F5791">
        <w:rPr>
          <w:iCs/>
        </w:rPr>
        <w:fldChar w:fldCharType="separate"/>
      </w:r>
      <w:r w:rsidR="00EB1865" w:rsidRPr="00EB1865">
        <w:rPr>
          <w:iCs/>
          <w:noProof/>
        </w:rPr>
        <w:t>[14]</w:t>
      </w:r>
      <w:r w:rsidRPr="002F5791">
        <w:rPr>
          <w:iCs/>
          <w:lang w:val="id-ID"/>
        </w:rPr>
        <w:fldChar w:fldCharType="end"/>
      </w:r>
      <w:r w:rsidRPr="002F5791">
        <w:rPr>
          <w:iCs/>
        </w:rPr>
        <w:t xml:space="preserve">. Better preparedness indicates the ability to provide effective emergency care in disaster situations </w:t>
      </w:r>
      <w:r w:rsidRPr="002F5791">
        <w:rPr>
          <w:iCs/>
        </w:rPr>
        <w:fldChar w:fldCharType="begin" w:fldLock="1"/>
      </w:r>
      <w:r w:rsidR="00A85738">
        <w:rPr>
          <w:iCs/>
        </w:rPr>
        <w:instrText>ADDIN CSL_CITATION {"citationItems":[{"id":"ITEM-1","itemData":{"DOI":"10.1097/BCR.0b013e318283b7d2","ISSN":"1559047X","abstract":"The 9/11 attacks reframed the narrative regarding disaster medicine. Bypass strategies have been replaced with absorption strategies and are more specifically described as \"surge capacity.\" In the succeeding years, a consensus has coalesced around stratifying the surge capacity into three distinct tiers: conventional, contingency, and crisis surge capacities. For the purpose of this work, these three distinct tiers were adapted specifically to burn surge for disaster planning activities at hospitals where burn centers are not located. A review was conducted involving published plans, other related academic works, and findings from actual disasters as well as modeling. The aim was to create burn-specific definitions for surge capacity for hospitals where a burn center is not located. The three-tier consensus description of surge capacity is delineated in their respective stratifications by what will hereinafter be referred to as the three \"S's\"; staff, space, and supplies (also referred to as supplies, pharmaceuticals, and equipment). This effort also included the creation of a checklist for nonburn center hospitals to assist in their development of a burn surge plan. Patients with serious burn injuries should always be moved to and managed at burn centers, but during a medical disaster with significant numbers of burn injured patients, there may be impediments to meeting this goal. It may be necessary for burn injured patients to remain for hours in an outlying hospital until being moved to a burn center. This work was aimed at aiding local and regional hospitals in developing an extemporizing measure until their burn injured patients can be moved to and managed at a burn center(s).Copyright © 2013 by the American Burn Association 1559-047X/2014.","author":[{"dropping-particle":"","family":"Kearns","given":"Randy D.","non-dropping-particle":"","parse-names":false,"suffix":""},{"dropping-particle":"","family":"Holmes","given":"James H.","non-dropping-particle":"","parse-names":false,"suffix":""},{"dropping-particle":"","family":"Alson","given":"Roy L.","non-dropping-particle":"","parse-names":false,"suffix":""},{"dropping-particle":"","family":"Cairns","given":"Bruce A.","non-dropping-particle":"","parse-names":false,"suffix":""}],"container-title":"Journal of Burn Care and Research","id":"ITEM-1","issue":"1","issued":{"date-parts":[["2014"]]},"page":"33-42","title":"Disaster planning: The past, present, and future concepts and principles of managing a surge of burn injured Patients for those involved in hospital facility planning and preparedness","type":"article-journal","volume":"35"},"uris":["http://www.mendeley.com/documents/?uuid=fd829e8b-66dd-4197-aa94-9e77f1aabea3"]}],"mendeley":{"formattedCitation":"[15]","plainTextFormattedCitation":"[15]","previouslyFormattedCitation":"[15]"},"properties":{"noteIndex":0},"schema":"https://github.com/citation-style-language/schema/raw/master/csl-citation.json"}</w:instrText>
      </w:r>
      <w:r w:rsidRPr="002F5791">
        <w:rPr>
          <w:iCs/>
        </w:rPr>
        <w:fldChar w:fldCharType="separate"/>
      </w:r>
      <w:r w:rsidR="00EB1865" w:rsidRPr="00EB1865">
        <w:rPr>
          <w:iCs/>
          <w:noProof/>
        </w:rPr>
        <w:t>[15]</w:t>
      </w:r>
      <w:r w:rsidRPr="002F5791">
        <w:rPr>
          <w:iCs/>
          <w:lang w:val="id-ID"/>
        </w:rPr>
        <w:fldChar w:fldCharType="end"/>
      </w:r>
      <w:r w:rsidRPr="002F5791">
        <w:rPr>
          <w:iCs/>
        </w:rPr>
        <w:t xml:space="preserve">. Poor disaster preparedness at the hospital level is known to cause poor patient outcomes, officers’ frustration and fatigue, and overall system disruption </w:t>
      </w:r>
      <w:r w:rsidRPr="002F5791">
        <w:rPr>
          <w:iCs/>
        </w:rPr>
        <w:fldChar w:fldCharType="begin" w:fldLock="1"/>
      </w:r>
      <w:r w:rsidR="00A85738">
        <w:rPr>
          <w:iCs/>
        </w:rPr>
        <w:instrText>ADDIN CSL_CITATION {"citationItems":[{"id":"ITEM-1","itemData":{"ISSN":"2309-8414","abstract":"The issues of hospital disaster resilience have been discussed for more than 30 years across the globe and gaining its prominence in recent years, yet it remains poorly defined. The inappropriate choice of components for disaster resilience hospitals will contribute to disruption and cause the hospital vulnerable towards disasters. Hence, the objective of the paper is to identify critical components of disaster resilience hospital. Qualitative research techniques were employed in the form of document analysis (i.e. guidelines and manuals from international public health agencies) and focus group among public agencies (i.e. MERCY Malaysia; hospital emergency physicians; and academicians). The findings revealed that three (3) critical components contributing to disaster resilience hospitals are: structural; non-structural and functional. The results of the study could offer valuable guideline for public hospitals in reducing the vulnerability to any types of disaster. ","author":[{"dropping-particle":"","family":"Takim","given":"Roshana","non-dropping-particle":"","parse-names":false,"suffix":""},{"dropping-particle":"","family":"Nawawi","given":"Abdul Hadi","non-dropping-particle":"","parse-names":false,"suffix":""},{"dropping-particle":"","family":"Esa","given":"Mohd Reza","non-dropping-particle":"","parse-names":false,"suffix":""}],"container-title":"Australian Journal of Basic and Applied Sciences","id":"ITEM-1","issue":"April","issued":{"date-parts":[["2015"]]},"page":"72-75","title":"Critical Components Contributing to Disaster Resilience Hospitals","type":"article-journal"},"uris":["http://www.mendeley.com/documents/?uuid=ff69926f-e3e0-4cf7-8ec3-92c9860e251e"]}],"mendeley":{"formattedCitation":"[16]","plainTextFormattedCitation":"[16]","previouslyFormattedCitation":"[16]"},"properties":{"noteIndex":0},"schema":"https://github.com/citation-style-language/schema/raw/master/csl-citation.json"}</w:instrText>
      </w:r>
      <w:r w:rsidRPr="002F5791">
        <w:rPr>
          <w:iCs/>
        </w:rPr>
        <w:fldChar w:fldCharType="separate"/>
      </w:r>
      <w:r w:rsidR="00EB1865" w:rsidRPr="00EB1865">
        <w:rPr>
          <w:iCs/>
          <w:noProof/>
        </w:rPr>
        <w:t>[16]</w:t>
      </w:r>
      <w:r w:rsidRPr="002F5791">
        <w:rPr>
          <w:iCs/>
          <w:lang w:val="id-ID"/>
        </w:rPr>
        <w:fldChar w:fldCharType="end"/>
      </w:r>
      <w:r w:rsidRPr="002F5791">
        <w:rPr>
          <w:iCs/>
        </w:rPr>
        <w:t xml:space="preserve">. Previous studies also suggested that reserve resources must be immediately distributed to meet the surge of patients in the emergency room during a disaster response </w:t>
      </w:r>
      <w:r w:rsidRPr="002F5791">
        <w:rPr>
          <w:iCs/>
        </w:rPr>
        <w:fldChar w:fldCharType="begin" w:fldLock="1"/>
      </w:r>
      <w:r w:rsidR="00A85738">
        <w:rPr>
          <w:iCs/>
        </w:rPr>
        <w:instrText>ADDIN CSL_CITATION {"citationItems":[{"id":"ITEM-1","itemData":{"DOI":"10.1016/j.aenj.2012.10.005","ISBN":"1574-6267 (Print)\\r1574-6267 (Linking)","ISSN":"15746267","PMID":"23217657","abstract":"Background: The aim of this review was to explore the current literature about working as a nurse in the emergency department (ED) during a disaster. Nurses play an important role in caring for patients that present to the ED following a disaster. While there is a great deal of literature written about disasters and disaster response, little has been written from the emergency nursing perspective. Methods: Literature was identified through electronic databases from 2000 to 2011. Articles were reviewed if they provided discussion relevant to nursing in the ED during a disaster. Results: 18 articles met the criteria. Five themes emerged from the review. There were two key findings: changes from a 'normal' working day to a disaster; and the preparedness of nurses working in the ED during a disaster. Conclusions: The literature highlights concern about the preparedness of ED nurses for disaster response and the capacity of nurses to transition to working in a disaster situation. © 2012 College of Emergency Nursing Australasia Ltd.","author":[{"dropping-particle":"","family":"Hammad","given":"Karen S.","non-dropping-particle":"","parse-names":false,"suffix":""},{"dropping-particle":"","family":"Arbon","given":"Paul","non-dropping-particle":"","parse-names":false,"suffix":""},{"dropping-particle":"","family":"Gebbie","given":"Kristine","non-dropping-particle":"","parse-names":false,"suffix":""},{"dropping-particle":"","family":"Hutton","given":"Alison","non-dropping-particle":"","parse-names":false,"suffix":""}],"container-title":"Australasian Emergency Nursing Journal","id":"ITEM-1","issue":"4","issued":{"date-parts":[["2012"]]},"page":"235-244","publisher":"College of Emergency Nursing Australasia","title":"Nursing in the emergency department (ED) during a disaster: A review of the current literature","type":"article-journal","volume":"15"},"uris":["http://www.mendeley.com/documents/?uuid=7b75dce3-793e-4ed0-a19f-db710b7f47da"]}],"mendeley":{"formattedCitation":"[17]","plainTextFormattedCitation":"[17]","previouslyFormattedCitation":"[17]"},"properties":{"noteIndex":0},"schema":"https://github.com/citation-style-language/schema/raw/master/csl-citation.json"}</w:instrText>
      </w:r>
      <w:r w:rsidRPr="002F5791">
        <w:rPr>
          <w:iCs/>
        </w:rPr>
        <w:fldChar w:fldCharType="separate"/>
      </w:r>
      <w:r w:rsidR="00EB1865" w:rsidRPr="00EB1865">
        <w:rPr>
          <w:iCs/>
          <w:noProof/>
        </w:rPr>
        <w:t>[17]</w:t>
      </w:r>
      <w:r w:rsidRPr="002F5791">
        <w:rPr>
          <w:iCs/>
          <w:lang w:val="id-ID"/>
        </w:rPr>
        <w:fldChar w:fldCharType="end"/>
      </w:r>
      <w:r w:rsidRPr="002F5791">
        <w:rPr>
          <w:iCs/>
        </w:rPr>
        <w:t>. For this reason, the study aims to analyze the relationship between the perceptions of emergency room nurses and the additional capacity of hospitals with an increase in nurse preparedness in disaster management.</w:t>
      </w:r>
    </w:p>
    <w:p w14:paraId="6820D66F" w14:textId="214388BD" w:rsidR="00541AAE" w:rsidRPr="00541AAE" w:rsidRDefault="00541AAE" w:rsidP="00541AAE">
      <w:pPr>
        <w:ind w:firstLine="720"/>
        <w:jc w:val="both"/>
        <w:rPr>
          <w:iCs/>
        </w:rPr>
      </w:pPr>
    </w:p>
    <w:p w14:paraId="245C66DB" w14:textId="77777777" w:rsidR="0010046E" w:rsidRPr="003D5B84" w:rsidRDefault="0010046E" w:rsidP="0010046E">
      <w:pPr>
        <w:jc w:val="both"/>
      </w:pPr>
    </w:p>
    <w:p w14:paraId="07E2B821" w14:textId="32DA68EE" w:rsidR="00904D6D" w:rsidRPr="00541AAE"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w:t>
      </w:r>
    </w:p>
    <w:p w14:paraId="63165271" w14:textId="77777777" w:rsidR="00541AAE" w:rsidRPr="003D5B84" w:rsidRDefault="00541AAE" w:rsidP="00541AAE">
      <w:pPr>
        <w:tabs>
          <w:tab w:val="left" w:pos="426"/>
        </w:tabs>
        <w:ind w:left="426"/>
        <w:rPr>
          <w:b/>
          <w:bCs/>
          <w:lang w:val="id-ID"/>
        </w:rPr>
      </w:pPr>
    </w:p>
    <w:p w14:paraId="6439BA28" w14:textId="7ABB17C7" w:rsidR="00541AAE" w:rsidRDefault="00541AAE" w:rsidP="00541AAE">
      <w:pPr>
        <w:jc w:val="both"/>
        <w:rPr>
          <w:b/>
          <w:bCs/>
          <w:lang w:val="en"/>
        </w:rPr>
      </w:pPr>
      <w:r w:rsidRPr="00541AAE">
        <w:rPr>
          <w:b/>
          <w:bCs/>
          <w:lang w:val="en"/>
        </w:rPr>
        <w:t>Study Design</w:t>
      </w:r>
    </w:p>
    <w:p w14:paraId="768C22C7" w14:textId="77777777" w:rsidR="00C05F60" w:rsidRPr="00541AAE" w:rsidRDefault="00C05F60" w:rsidP="00541AAE">
      <w:pPr>
        <w:jc w:val="both"/>
        <w:rPr>
          <w:b/>
          <w:bCs/>
          <w:lang w:val="en"/>
        </w:rPr>
      </w:pPr>
    </w:p>
    <w:p w14:paraId="208B8B4B" w14:textId="791F254D" w:rsidR="00541AAE" w:rsidRDefault="00C05F60" w:rsidP="00541AAE">
      <w:pPr>
        <w:ind w:firstLine="720"/>
        <w:jc w:val="both"/>
        <w:rPr>
          <w:lang w:val="en"/>
        </w:rPr>
      </w:pPr>
      <w:r w:rsidRPr="00C05F60">
        <w:rPr>
          <w:lang w:val="en"/>
        </w:rPr>
        <w:t>This quantitative study employed cross-sectional survey and was conducted at the emergency department of a government hospital in West Nusa Tenggara region. It involved 163 respondents recruited using probability sampling with proportional random sampling techniques. They were emergency nurses who have worked for more than 1 year and were willing to become respondents. Before the study began, ethical approval was obtained from the Ethics Committee of the West Nusa Tenggara Province General Hospital with the number 070.1 / 05 / KEP / 2020.</w:t>
      </w:r>
    </w:p>
    <w:p w14:paraId="3AE6E24D" w14:textId="77777777" w:rsidR="00C05F60" w:rsidRPr="00541AAE" w:rsidRDefault="00C05F60" w:rsidP="00541AAE">
      <w:pPr>
        <w:ind w:firstLine="720"/>
        <w:jc w:val="both"/>
      </w:pPr>
    </w:p>
    <w:p w14:paraId="57F55324" w14:textId="6A08884C" w:rsidR="00541AAE" w:rsidRDefault="00541AAE" w:rsidP="00541AAE">
      <w:pPr>
        <w:jc w:val="both"/>
        <w:rPr>
          <w:b/>
          <w:bCs/>
        </w:rPr>
      </w:pPr>
      <w:r w:rsidRPr="00541AAE">
        <w:rPr>
          <w:b/>
          <w:bCs/>
          <w:lang w:val="en"/>
        </w:rPr>
        <w:t>Instrument</w:t>
      </w:r>
      <w:r w:rsidRPr="00541AAE">
        <w:rPr>
          <w:b/>
          <w:bCs/>
        </w:rPr>
        <w:t xml:space="preserve"> </w:t>
      </w:r>
    </w:p>
    <w:p w14:paraId="6461BB1A" w14:textId="77777777" w:rsidR="00C05F60" w:rsidRPr="00541AAE" w:rsidRDefault="00C05F60" w:rsidP="00541AAE">
      <w:pPr>
        <w:jc w:val="both"/>
        <w:rPr>
          <w:b/>
          <w:bCs/>
        </w:rPr>
      </w:pPr>
    </w:p>
    <w:p w14:paraId="1453B914" w14:textId="0E1AD63C" w:rsidR="00C05F60" w:rsidRDefault="00C05F60" w:rsidP="00C05F60">
      <w:pPr>
        <w:jc w:val="both"/>
      </w:pPr>
      <w:r w:rsidRPr="00C05F60">
        <w:t xml:space="preserve">Dependent variable data were collected using the Disaster Preparedness Evaluation Tool (DPET) designed by </w:t>
      </w:r>
      <w:r w:rsidRPr="00C05F60">
        <w:rPr>
          <w:bCs/>
        </w:rPr>
        <w:fldChar w:fldCharType="begin" w:fldLock="1"/>
      </w:r>
      <w:r w:rsidR="00A85738">
        <w:rPr>
          <w:bCs/>
        </w:rPr>
        <w:instrText>ADDIN CSL_CITATION {"citationItems":[{"id":"ITEM-1","itemData":{"author":[{"dropping-particle":"","family":"Tichy","given":"M","non-dropping-particle":"","parse-names":false,"suffix":""},{"dropping-particle":"","family":"Bond","given":"A E","non-dropping-particle":"","parse-names":false,"suffix":""},{"dropping-particle":"","family":"Beckstrand","given":"Renea","non-dropping-particle":"","parse-names":false,"suffix":""},{"dropping-particle":"","family":"Heise","given":"Barbara","non-dropping-particle":"","parse-names":false,"suffix":""}],"container-title":"American Journal for Nurse Practitioners","id":"ITEM-1","issued":{"date-parts":[["2009","1","1"]]},"number-of-pages":"10-22","title":"Nurse practitioners' perception of disaster preparedness education","type":"book","volume":"13"},"uris":["http://www.mendeley.com/documents/?uuid=07eb700b-d7da-449a-b8ca-cb270e179517"]}],"mendeley":{"formattedCitation":"[18]","manualFormatting":"Tichy et al","plainTextFormattedCitation":"[18]","previouslyFormattedCitation":"[18]"},"properties":{"noteIndex":0},"schema":"https://github.com/citation-style-language/schema/raw/master/csl-citation.json"}</w:instrText>
      </w:r>
      <w:r w:rsidRPr="00C05F60">
        <w:rPr>
          <w:bCs/>
        </w:rPr>
        <w:fldChar w:fldCharType="separate"/>
      </w:r>
      <w:r w:rsidRPr="00C05F60">
        <w:rPr>
          <w:bCs/>
          <w:noProof/>
        </w:rPr>
        <w:t xml:space="preserve">Tichy </w:t>
      </w:r>
      <w:r w:rsidRPr="00C05F60">
        <w:rPr>
          <w:bCs/>
          <w:i/>
          <w:iCs/>
          <w:noProof/>
        </w:rPr>
        <w:t>et al</w:t>
      </w:r>
      <w:r w:rsidRPr="00C05F60">
        <w:fldChar w:fldCharType="end"/>
      </w:r>
      <w:r w:rsidRPr="00C05F60">
        <w:t xml:space="preserve"> </w:t>
      </w:r>
      <w:r w:rsidRPr="00C05F60">
        <w:fldChar w:fldCharType="begin" w:fldLock="1"/>
      </w:r>
      <w:r w:rsidR="00A85738">
        <w:instrText>ADDIN CSL_CITATION {"citationItems":[{"id":"ITEM-1","itemData":{"author":[{"dropping-particle":"","family":"Tichy","given":"M","non-dropping-particle":"","parse-names":false,"suffix":""},{"dropping-particle":"","family":"Bond","given":"A E","non-dropping-particle":"","parse-names":false,"suffix":""},{"dropping-particle":"","family":"Beckstrand","given":"Renea","non-dropping-particle":"","parse-names":false,"suffix":""},{"dropping-particle":"","family":"Heise","given":"Barbara","non-dropping-particle":"","parse-names":false,"suffix":""}],"container-title":"American Journal for Nurse Practitioners","id":"ITEM-1","issued":{"date-parts":[["2009","1","1"]]},"number-of-pages":"10-22","title":"Nurse practitioners' perception of disaster preparedness education","type":"book","volume":"13"},"uris":["http://www.mendeley.com/documents/?uuid=07eb700b-d7da-449a-b8ca-cb270e179517"]}],"mendeley":{"formattedCitation":"[18]","plainTextFormattedCitation":"[18]","previouslyFormattedCitation":"[18]"},"properties":{"noteIndex":0},"schema":"https://github.com/citation-style-language/schema/raw/master/csl-citation.json"}</w:instrText>
      </w:r>
      <w:r w:rsidRPr="00C05F60">
        <w:fldChar w:fldCharType="separate"/>
      </w:r>
      <w:r w:rsidR="00EB1865" w:rsidRPr="00EB1865">
        <w:rPr>
          <w:noProof/>
        </w:rPr>
        <w:t>[18]</w:t>
      </w:r>
      <w:r w:rsidRPr="00C05F60">
        <w:fldChar w:fldCharType="end"/>
      </w:r>
      <w:r w:rsidRPr="00C05F60">
        <w:t xml:space="preserve">. This instrument is designed for assessing nursing practitioners' specific knowledge and skills regarding disaster/post-disaster preparation, response, and management. This study used 38 items from 45 question items to assess nurses' perceptions of their preparedness to respond to natural disasters. The Pearson Product Moment validity test results from r&gt; r table and </w:t>
      </w:r>
      <w:proofErr w:type="spellStart"/>
      <w:r w:rsidRPr="00C05F60">
        <w:t>Cronchbach</w:t>
      </w:r>
      <w:proofErr w:type="spellEnd"/>
      <w:r w:rsidRPr="00C05F60">
        <w:t xml:space="preserve"> alpha reliability that the researchers obtained showed a value of 0.965 so that the research instrument was very validity in this study. This questionnaire used Likert scale from 1 to 6 (Strongly Disagree to </w:t>
      </w:r>
      <w:proofErr w:type="spellStart"/>
      <w:r w:rsidRPr="00C05F60">
        <w:t>Storngly</w:t>
      </w:r>
      <w:proofErr w:type="spellEnd"/>
      <w:r w:rsidRPr="00C05F60">
        <w:t xml:space="preserve"> Agree). The nurses perception of hospital facility and infrastructure support  using the Health Sector Self-Assessment Tool for Disaster Risk Reduction was adapted from WHO </w:t>
      </w:r>
      <w:r w:rsidRPr="00C05F60">
        <w:rPr>
          <w:bCs/>
          <w:i/>
          <w:iCs/>
        </w:rPr>
        <w:fldChar w:fldCharType="begin" w:fldLock="1"/>
      </w:r>
      <w:r w:rsidR="00A85738">
        <w:rPr>
          <w:bCs/>
          <w:i/>
          <w:iCs/>
        </w:rPr>
        <w:instrText>ADDIN CSL_CITATION {"citationItems":[{"id":"ITEM-1","itemData":{"ISBN":"9789275131428","author":[{"dropping-particle":"","family":"WHO","given":"","non-dropping-particle":"","parse-names":false,"suffix":""}],"container-title":"Media","id":"ITEM-1","issued":{"date-parts":[["2010"]]},"title":"Health sector self-assessment tool for disaster risk reduction","type":"book"},"uris":["http://www.mendeley.com/documents/?uuid=7ac761b0-13e2-4783-a296-ba73ad893ff6"]}],"mendeley":{"formattedCitation":"[19]","plainTextFormattedCitation":"[19]","previouslyFormattedCitation":"[19]"},"properties":{"noteIndex":0},"schema":"https://github.com/citation-style-language/schema/raw/master/csl-citation.json"}</w:instrText>
      </w:r>
      <w:r w:rsidRPr="00C05F60">
        <w:rPr>
          <w:bCs/>
          <w:i/>
          <w:iCs/>
        </w:rPr>
        <w:fldChar w:fldCharType="separate"/>
      </w:r>
      <w:r w:rsidR="00EB1865" w:rsidRPr="00EB1865">
        <w:rPr>
          <w:bCs/>
          <w:iCs/>
          <w:noProof/>
        </w:rPr>
        <w:t>[19]</w:t>
      </w:r>
      <w:r w:rsidRPr="00C05F60">
        <w:fldChar w:fldCharType="end"/>
      </w:r>
      <w:r w:rsidRPr="00C05F60">
        <w:rPr>
          <w:bCs/>
          <w:i/>
          <w:iCs/>
        </w:rPr>
        <w:t xml:space="preserve"> </w:t>
      </w:r>
      <w:r w:rsidRPr="00C05F60">
        <w:t xml:space="preserve">consisting of two indicators of the availability of adequate health facilities and logistical availability of 10 questions with a Likert scale with a range of answers 1 (Strongly Disagree) through 6 (Strongly Agree). The Pearson Product Moment validity test results from r&gt; r table and </w:t>
      </w:r>
      <w:proofErr w:type="spellStart"/>
      <w:r w:rsidRPr="00C05F60">
        <w:t>Cronchbach</w:t>
      </w:r>
      <w:proofErr w:type="spellEnd"/>
      <w:r w:rsidRPr="00C05F60">
        <w:t xml:space="preserve"> alpha reliability that the researchers obtained showed a value of 0.930. </w:t>
      </w:r>
      <w:proofErr w:type="spellStart"/>
      <w:r w:rsidRPr="00C05F60">
        <w:t>Therefoere</w:t>
      </w:r>
      <w:proofErr w:type="spellEnd"/>
      <w:r w:rsidRPr="00C05F60">
        <w:t xml:space="preserve">, the research instrument could be applied in this study. Both of these instruments have been translated into Indonesian using backward translation of </w:t>
      </w:r>
      <w:r w:rsidRPr="00C05F60">
        <w:fldChar w:fldCharType="begin" w:fldLock="1"/>
      </w:r>
      <w:r w:rsidR="00A85738">
        <w:instrText>ADDIN CSL_CITATION {"citationItems":[{"id":"ITEM-1","itemData":{"DOI":"10.1177/135910457000100301","ISSN":"0022-0221","abstract":"Two aspects of translation were investigated: (1) factors that affect translation quality, and (2) how equivalence between source and target versions can be evaluated. The variables of language, content, and difficulty were studied through an analysis of variance design. Ninety-four bilinguals from the University of Guam, representing ten languages, translated or back-translated six essays incorporating three content areas and two levels of difficulty. The five criteria for equivalence were based on comparisons of meaning or predictions of similar responses to original or translated versions. The factors of content, difficulty, language and content-language interaction were significant, and the five equivalence criteria proved workable. Conclusions are that translation quality can be predicted, and that a functionally equivalent translation can be demonstrated when responses to the original and target versions are studied.","author":[{"dropping-particle":"","family":"Brislin","given":"Richard W","non-dropping-particle":"","parse-names":false,"suffix":""}],"container-title":"Journal of Cross-Cultural Psychology","id":"ITEM-1","issue":"3","issued":{"date-parts":[["1970","9","1"]]},"note":"doi: 10.1177/135910457000100301","page":"185-216","publisher":"SAGE Publications Inc","title":"Back-Translation for Cross-Cultural Research","type":"article-journal","volume":"1"},"uris":["http://www.mendeley.com/documents/?uuid=cf4f5b53-5f86-4971-9e4c-de0125f063fb"]}],"mendeley":{"formattedCitation":"[20]","manualFormatting":"Brislin ","plainTextFormattedCitation":"[20]","previouslyFormattedCitation":"[20]"},"properties":{"noteIndex":0},"schema":"https://github.com/citation-style-language/schema/raw/master/csl-citation.json"}</w:instrText>
      </w:r>
      <w:r w:rsidRPr="00C05F60">
        <w:fldChar w:fldCharType="separate"/>
      </w:r>
      <w:r w:rsidRPr="00C05F60">
        <w:rPr>
          <w:noProof/>
        </w:rPr>
        <w:t xml:space="preserve">Brislin </w:t>
      </w:r>
      <w:r w:rsidRPr="00C05F60">
        <w:fldChar w:fldCharType="end"/>
      </w:r>
      <w:r w:rsidR="00A85738">
        <w:fldChar w:fldCharType="begin" w:fldLock="1"/>
      </w:r>
      <w:r w:rsidR="00A85738">
        <w:instrText>ADDIN CSL_CITATION {"citationItems":[{"id":"ITEM-1","itemData":{"DOI":"10.1177/135910457000100301","ISSN":"0022-0221","abstract":"Two aspects of translation were investigated: (1) factors that affect translation quality, and (2) how equivalence between source and target versions can be evaluated. The variables of language, content, and difficulty were studied through an analysis of variance design. Ninety-four bilinguals from the University of Guam, representing ten languages, translated or back-translated six essays incorporating three content areas and two levels of difficulty. The five criteria for equivalence were based on comparisons of meaning or predictions of similar responses to original or translated versions. The factors of content, difficulty, language and content-language interaction were significant, and the five equivalence criteria proved workable. Conclusions are that translation quality can be predicted, and that a functionally equivalent translation can be demonstrated when responses to the original and target versions are studied.","author":[{"dropping-particle":"","family":"Brislin","given":"Richard W","non-dropping-particle":"","parse-names":false,"suffix":""}],"container-title":"Journal of Cross-Cultural Psychology","id":"ITEM-1","issue":"3","issued":{"date-parts":[["1970","9","1"]]},"note":"doi: 10.1177/135910457000100301","page":"185-216","publisher":"SAGE Publications Inc","title":"Back-Translation for Cross-Cultural Research","type":"article-journal","volume":"1"},"uris":["http://www.mendeley.com/documents/?uuid=cf4f5b53-5f86-4971-9e4c-de0125f063fb"]}],"mendeley":{"formattedCitation":"[20]","plainTextFormattedCitation":"[20]","previouslyFormattedCitation":"[20]"},"properties":{"noteIndex":0},"schema":"https://github.com/citation-style-language/schema/raw/master/csl-citation.json"}</w:instrText>
      </w:r>
      <w:r w:rsidR="00A85738">
        <w:fldChar w:fldCharType="separate"/>
      </w:r>
      <w:r w:rsidR="00A85738" w:rsidRPr="00A85738">
        <w:rPr>
          <w:noProof/>
        </w:rPr>
        <w:t>[20]</w:t>
      </w:r>
      <w:r w:rsidR="00A85738">
        <w:fldChar w:fldCharType="end"/>
      </w:r>
      <w:r w:rsidRPr="00C05F60">
        <w:t>.</w:t>
      </w:r>
    </w:p>
    <w:p w14:paraId="1C7FC3D2" w14:textId="77777777" w:rsidR="00C05F60" w:rsidRPr="00C05F60" w:rsidRDefault="00C05F60" w:rsidP="00C05F60">
      <w:pPr>
        <w:jc w:val="both"/>
      </w:pPr>
    </w:p>
    <w:p w14:paraId="45BB756C" w14:textId="258368A8" w:rsidR="00541AAE" w:rsidRDefault="00541AAE" w:rsidP="00541AAE">
      <w:pPr>
        <w:jc w:val="both"/>
        <w:rPr>
          <w:b/>
          <w:bCs/>
          <w:lang w:val="en"/>
        </w:rPr>
      </w:pPr>
      <w:r w:rsidRPr="00541AAE">
        <w:rPr>
          <w:b/>
          <w:bCs/>
          <w:lang w:val="en"/>
        </w:rPr>
        <w:t>Data analysis</w:t>
      </w:r>
    </w:p>
    <w:p w14:paraId="3D52CBE0" w14:textId="77777777" w:rsidR="00C05F60" w:rsidRPr="00541AAE" w:rsidRDefault="00C05F60" w:rsidP="00541AAE">
      <w:pPr>
        <w:jc w:val="both"/>
        <w:rPr>
          <w:b/>
          <w:bCs/>
          <w:lang w:val="en"/>
        </w:rPr>
      </w:pPr>
    </w:p>
    <w:p w14:paraId="3DC9C1EE" w14:textId="77777777" w:rsidR="00C05F60" w:rsidRPr="00C05F60" w:rsidRDefault="00C05F60" w:rsidP="00C05F60">
      <w:pPr>
        <w:jc w:val="both"/>
      </w:pPr>
      <w:r w:rsidRPr="00C05F60">
        <w:rPr>
          <w:lang w:val="en"/>
        </w:rPr>
        <w:t>Research data were analyzed using IBM SPSS Statistics 26.0 software with a significant value of 0.05. Demographic data of the respondents are presented in the form of frequency distributions. To assess the relationship between independent and dependent variables, the Spearman rank correlation test was used.</w:t>
      </w:r>
    </w:p>
    <w:p w14:paraId="5D6E94E1" w14:textId="4F0E9C8A" w:rsidR="00B07DF0" w:rsidRDefault="00B07DF0" w:rsidP="00C05F60">
      <w:pPr>
        <w:jc w:val="both"/>
        <w:rPr>
          <w:b/>
          <w:bCs/>
        </w:rPr>
      </w:pPr>
    </w:p>
    <w:p w14:paraId="76526B01" w14:textId="2C6417DC" w:rsidR="00904D6D" w:rsidRPr="00C05F60"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00521EC1">
        <w:rPr>
          <w:b/>
          <w:bCs/>
          <w:lang w:val="id-ID"/>
        </w:rPr>
        <w:t xml:space="preserve">ND </w:t>
      </w:r>
      <w:r w:rsidR="00521EC1">
        <w:rPr>
          <w:b/>
          <w:bCs/>
          <w:lang w:val="en-ID"/>
        </w:rPr>
        <w:t>DISCUSSIONS</w:t>
      </w:r>
      <w:r>
        <w:rPr>
          <w:b/>
          <w:bCs/>
        </w:rPr>
        <w:t xml:space="preserve"> </w:t>
      </w:r>
    </w:p>
    <w:p w14:paraId="16F41157" w14:textId="77777777" w:rsidR="00C05F60" w:rsidRPr="003D5B84" w:rsidRDefault="00C05F60" w:rsidP="00C05F60">
      <w:pPr>
        <w:tabs>
          <w:tab w:val="left" w:pos="426"/>
        </w:tabs>
        <w:ind w:left="426"/>
        <w:rPr>
          <w:b/>
          <w:bCs/>
          <w:lang w:val="id-ID"/>
        </w:rPr>
      </w:pPr>
    </w:p>
    <w:p w14:paraId="207CCB08" w14:textId="77777777" w:rsidR="00C05F60" w:rsidRPr="00C05F60" w:rsidRDefault="00C05F60" w:rsidP="00C05F60">
      <w:pPr>
        <w:ind w:firstLine="720"/>
        <w:jc w:val="both"/>
      </w:pPr>
      <w:r w:rsidRPr="00C05F60">
        <w:rPr>
          <w:lang w:val="en"/>
        </w:rPr>
        <w:t xml:space="preserve">From the results of the analysis, the following demographic data were found.  Most nurses were male (61.7%); most of the respondents were aged 26-35 years (81.4%) and they were married (84.4%). The majority of respondents had worked for 5 years and under (56.3%), and most respondents had a college degree (50.3%). </w:t>
      </w:r>
      <w:r w:rsidRPr="00C05F60">
        <w:t xml:space="preserve">This is more than 50% </w:t>
      </w:r>
      <w:r w:rsidRPr="00C05F60">
        <w:rPr>
          <w:lang w:val="en"/>
        </w:rPr>
        <w:t xml:space="preserve">of respondents had never attended disaster training while 37.7% had attended the </w:t>
      </w:r>
      <w:proofErr w:type="spellStart"/>
      <w:r w:rsidRPr="00C05F60">
        <w:rPr>
          <w:lang w:val="en"/>
        </w:rPr>
        <w:t>traing</w:t>
      </w:r>
      <w:proofErr w:type="spellEnd"/>
      <w:r w:rsidRPr="00C05F60">
        <w:rPr>
          <w:lang w:val="en"/>
        </w:rPr>
        <w:t>. 50.9% of the respondents had experience in previous disaster response while 49.1% had no previous experience in disaster response.</w:t>
      </w:r>
    </w:p>
    <w:p w14:paraId="3F4392B8" w14:textId="77777777" w:rsidR="00541AAE" w:rsidRDefault="00541AAE" w:rsidP="00541AAE">
      <w:pPr>
        <w:ind w:firstLine="720"/>
        <w:jc w:val="both"/>
        <w:rPr>
          <w:lang w:val="en"/>
        </w:rPr>
      </w:pPr>
    </w:p>
    <w:p w14:paraId="3DBCC44C" w14:textId="77777777" w:rsidR="00541AAE" w:rsidRPr="00541AAE" w:rsidRDefault="00541AAE" w:rsidP="00541AAE">
      <w:pPr>
        <w:spacing w:after="160" w:line="480" w:lineRule="auto"/>
        <w:ind w:left="720"/>
        <w:contextualSpacing/>
        <w:jc w:val="both"/>
        <w:rPr>
          <w:rFonts w:eastAsia="Calibri"/>
          <w:b/>
          <w:bCs/>
        </w:rPr>
      </w:pPr>
      <w:r w:rsidRPr="00541AAE">
        <w:rPr>
          <w:rFonts w:eastAsia="Calibri"/>
          <w:b/>
          <w:bCs/>
        </w:rPr>
        <w:lastRenderedPageBreak/>
        <w:t>Table 1 Demographic Data</w:t>
      </w:r>
    </w:p>
    <w:tbl>
      <w:tblPr>
        <w:tblStyle w:val="TableGrid1"/>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761"/>
        <w:gridCol w:w="4369"/>
        <w:gridCol w:w="1414"/>
        <w:gridCol w:w="1524"/>
      </w:tblGrid>
      <w:tr w:rsidR="00541AAE" w:rsidRPr="00541AAE" w14:paraId="290DFDAF" w14:textId="77777777" w:rsidTr="005C2A4A">
        <w:trPr>
          <w:trHeight w:val="368"/>
          <w:tblHeader/>
        </w:trPr>
        <w:tc>
          <w:tcPr>
            <w:tcW w:w="805" w:type="dxa"/>
            <w:vAlign w:val="center"/>
          </w:tcPr>
          <w:p w14:paraId="0DC364B7" w14:textId="77777777" w:rsidR="00541AAE" w:rsidRPr="00541AAE" w:rsidRDefault="00541AAE" w:rsidP="00541AAE">
            <w:pPr>
              <w:contextualSpacing/>
              <w:jc w:val="center"/>
              <w:rPr>
                <w:rFonts w:ascii="Times New Roman" w:hAnsi="Times New Roman"/>
                <w:sz w:val="18"/>
                <w:szCs w:val="18"/>
              </w:rPr>
            </w:pPr>
            <w:r w:rsidRPr="00541AAE">
              <w:rPr>
                <w:rFonts w:ascii="Times New Roman" w:hAnsi="Times New Roman"/>
                <w:sz w:val="18"/>
                <w:szCs w:val="18"/>
              </w:rPr>
              <w:t>No</w:t>
            </w:r>
          </w:p>
        </w:tc>
        <w:tc>
          <w:tcPr>
            <w:tcW w:w="4770" w:type="dxa"/>
            <w:vAlign w:val="center"/>
          </w:tcPr>
          <w:p w14:paraId="1BFB7070" w14:textId="77777777" w:rsidR="00541AAE" w:rsidRPr="00541AAE" w:rsidRDefault="00541AAE" w:rsidP="00541AAE">
            <w:pPr>
              <w:ind w:left="75"/>
              <w:contextualSpacing/>
              <w:jc w:val="center"/>
              <w:rPr>
                <w:rFonts w:ascii="Times New Roman" w:hAnsi="Times New Roman"/>
                <w:sz w:val="18"/>
                <w:szCs w:val="18"/>
              </w:rPr>
            </w:pPr>
            <w:r w:rsidRPr="00541AAE">
              <w:rPr>
                <w:rFonts w:ascii="Times New Roman" w:hAnsi="Times New Roman"/>
                <w:sz w:val="18"/>
                <w:szCs w:val="18"/>
                <w:lang w:val="en"/>
              </w:rPr>
              <w:t>Characteristics</w:t>
            </w:r>
          </w:p>
          <w:p w14:paraId="181535C2" w14:textId="77777777" w:rsidR="00541AAE" w:rsidRPr="00541AAE" w:rsidRDefault="00541AAE" w:rsidP="00541AAE">
            <w:pPr>
              <w:contextualSpacing/>
              <w:jc w:val="center"/>
              <w:rPr>
                <w:rFonts w:ascii="Times New Roman" w:hAnsi="Times New Roman"/>
                <w:sz w:val="18"/>
                <w:szCs w:val="18"/>
              </w:rPr>
            </w:pPr>
          </w:p>
        </w:tc>
        <w:tc>
          <w:tcPr>
            <w:tcW w:w="1462" w:type="dxa"/>
            <w:vAlign w:val="center"/>
          </w:tcPr>
          <w:p w14:paraId="00BC0861" w14:textId="77777777" w:rsidR="00541AAE" w:rsidRPr="00541AAE" w:rsidRDefault="00541AAE" w:rsidP="00541AAE">
            <w:pPr>
              <w:ind w:left="75"/>
              <w:contextualSpacing/>
              <w:jc w:val="center"/>
              <w:rPr>
                <w:rFonts w:ascii="Times New Roman" w:hAnsi="Times New Roman"/>
                <w:sz w:val="18"/>
                <w:szCs w:val="18"/>
              </w:rPr>
            </w:pPr>
            <w:r w:rsidRPr="00541AAE">
              <w:rPr>
                <w:rFonts w:ascii="Times New Roman" w:hAnsi="Times New Roman"/>
                <w:sz w:val="18"/>
                <w:szCs w:val="18"/>
                <w:lang w:val="en"/>
              </w:rPr>
              <w:t>Frequency</w:t>
            </w:r>
          </w:p>
          <w:p w14:paraId="489A2DDB" w14:textId="77777777" w:rsidR="00541AAE" w:rsidRPr="00541AAE" w:rsidRDefault="00541AAE" w:rsidP="00541AAE">
            <w:pPr>
              <w:contextualSpacing/>
              <w:jc w:val="center"/>
              <w:rPr>
                <w:rFonts w:ascii="Times New Roman" w:hAnsi="Times New Roman"/>
                <w:sz w:val="18"/>
                <w:szCs w:val="18"/>
              </w:rPr>
            </w:pPr>
            <w:r w:rsidRPr="00541AAE">
              <w:rPr>
                <w:rFonts w:ascii="Times New Roman" w:hAnsi="Times New Roman"/>
                <w:sz w:val="18"/>
                <w:szCs w:val="18"/>
              </w:rPr>
              <w:t>(n)</w:t>
            </w:r>
          </w:p>
        </w:tc>
        <w:tc>
          <w:tcPr>
            <w:tcW w:w="1593" w:type="dxa"/>
            <w:vAlign w:val="center"/>
          </w:tcPr>
          <w:p w14:paraId="5DDE0260" w14:textId="77777777" w:rsidR="00541AAE" w:rsidRPr="00541AAE" w:rsidRDefault="00541AAE" w:rsidP="00541AAE">
            <w:pPr>
              <w:contextualSpacing/>
              <w:jc w:val="center"/>
              <w:rPr>
                <w:rFonts w:ascii="Times New Roman" w:hAnsi="Times New Roman"/>
                <w:sz w:val="18"/>
                <w:szCs w:val="18"/>
              </w:rPr>
            </w:pPr>
            <w:r w:rsidRPr="00541AAE">
              <w:rPr>
                <w:rFonts w:ascii="Times New Roman" w:hAnsi="Times New Roman"/>
                <w:sz w:val="18"/>
                <w:szCs w:val="18"/>
              </w:rPr>
              <w:t>Percentage (%)</w:t>
            </w:r>
          </w:p>
        </w:tc>
      </w:tr>
      <w:tr w:rsidR="00541AAE" w:rsidRPr="00541AAE" w14:paraId="6D62BC3E" w14:textId="77777777" w:rsidTr="005C2A4A">
        <w:trPr>
          <w:trHeight w:val="638"/>
        </w:trPr>
        <w:tc>
          <w:tcPr>
            <w:tcW w:w="805" w:type="dxa"/>
            <w:vAlign w:val="center"/>
          </w:tcPr>
          <w:p w14:paraId="18C9F021" w14:textId="77777777" w:rsidR="00541AAE" w:rsidRPr="00541AAE" w:rsidRDefault="00541AAE" w:rsidP="00541AAE">
            <w:pPr>
              <w:contextualSpacing/>
              <w:jc w:val="center"/>
              <w:rPr>
                <w:rFonts w:ascii="Times New Roman" w:hAnsi="Times New Roman"/>
                <w:sz w:val="18"/>
                <w:szCs w:val="18"/>
              </w:rPr>
            </w:pPr>
            <w:r w:rsidRPr="00541AAE">
              <w:rPr>
                <w:rFonts w:ascii="Times New Roman" w:hAnsi="Times New Roman"/>
                <w:sz w:val="18"/>
                <w:szCs w:val="18"/>
              </w:rPr>
              <w:t>1</w:t>
            </w:r>
          </w:p>
        </w:tc>
        <w:tc>
          <w:tcPr>
            <w:tcW w:w="4770" w:type="dxa"/>
            <w:vAlign w:val="center"/>
          </w:tcPr>
          <w:p w14:paraId="160DD564" w14:textId="77777777" w:rsidR="00541AAE" w:rsidRPr="00541AAE" w:rsidRDefault="00541AAE" w:rsidP="00541AAE">
            <w:pPr>
              <w:spacing w:line="360" w:lineRule="auto"/>
              <w:contextualSpacing/>
              <w:jc w:val="both"/>
              <w:rPr>
                <w:rFonts w:ascii="Times New Roman" w:hAnsi="Times New Roman"/>
                <w:sz w:val="18"/>
                <w:szCs w:val="18"/>
              </w:rPr>
            </w:pPr>
            <w:r w:rsidRPr="00541AAE">
              <w:rPr>
                <w:rFonts w:ascii="Times New Roman" w:hAnsi="Times New Roman"/>
                <w:sz w:val="18"/>
                <w:szCs w:val="18"/>
              </w:rPr>
              <w:t>Gender</w:t>
            </w:r>
          </w:p>
          <w:p w14:paraId="2BC02808" w14:textId="77777777" w:rsidR="00541AAE" w:rsidRPr="00541AAE" w:rsidRDefault="00541AAE" w:rsidP="00541AAE">
            <w:pPr>
              <w:spacing w:line="360" w:lineRule="auto"/>
              <w:contextualSpacing/>
              <w:jc w:val="both"/>
              <w:rPr>
                <w:rFonts w:ascii="Times New Roman" w:hAnsi="Times New Roman"/>
                <w:sz w:val="18"/>
                <w:szCs w:val="18"/>
              </w:rPr>
            </w:pPr>
            <w:r w:rsidRPr="00541AAE">
              <w:rPr>
                <w:rFonts w:ascii="Times New Roman" w:hAnsi="Times New Roman"/>
                <w:sz w:val="18"/>
                <w:szCs w:val="18"/>
              </w:rPr>
              <w:t>Men</w:t>
            </w:r>
          </w:p>
          <w:p w14:paraId="05CC986C" w14:textId="77777777" w:rsidR="00541AAE" w:rsidRPr="00541AAE" w:rsidRDefault="00541AAE" w:rsidP="00541AAE">
            <w:pPr>
              <w:spacing w:line="360" w:lineRule="auto"/>
              <w:contextualSpacing/>
              <w:jc w:val="both"/>
              <w:rPr>
                <w:rFonts w:ascii="Times New Roman" w:hAnsi="Times New Roman"/>
                <w:sz w:val="18"/>
                <w:szCs w:val="18"/>
              </w:rPr>
            </w:pPr>
            <w:r w:rsidRPr="00541AAE">
              <w:rPr>
                <w:rFonts w:ascii="Times New Roman" w:hAnsi="Times New Roman"/>
                <w:sz w:val="18"/>
                <w:szCs w:val="18"/>
              </w:rPr>
              <w:t xml:space="preserve">Woman </w:t>
            </w:r>
          </w:p>
        </w:tc>
        <w:tc>
          <w:tcPr>
            <w:tcW w:w="1462" w:type="dxa"/>
            <w:vAlign w:val="center"/>
          </w:tcPr>
          <w:p w14:paraId="15000EB9" w14:textId="77777777" w:rsidR="00541AAE" w:rsidRPr="00541AAE" w:rsidRDefault="00541AAE" w:rsidP="00541AAE">
            <w:pPr>
              <w:spacing w:line="360" w:lineRule="auto"/>
              <w:contextualSpacing/>
              <w:jc w:val="center"/>
              <w:rPr>
                <w:rFonts w:ascii="Times New Roman" w:hAnsi="Times New Roman"/>
                <w:sz w:val="18"/>
                <w:szCs w:val="18"/>
              </w:rPr>
            </w:pPr>
            <w:r w:rsidRPr="00541AAE">
              <w:rPr>
                <w:rFonts w:ascii="Times New Roman" w:hAnsi="Times New Roman"/>
                <w:sz w:val="18"/>
                <w:szCs w:val="18"/>
              </w:rPr>
              <w:t>103</w:t>
            </w:r>
          </w:p>
          <w:p w14:paraId="3E419E7B" w14:textId="77777777" w:rsidR="00541AAE" w:rsidRPr="00541AAE" w:rsidRDefault="00541AAE" w:rsidP="00541AAE">
            <w:pPr>
              <w:spacing w:line="360" w:lineRule="auto"/>
              <w:contextualSpacing/>
              <w:jc w:val="center"/>
              <w:rPr>
                <w:rFonts w:ascii="Times New Roman" w:hAnsi="Times New Roman"/>
                <w:sz w:val="18"/>
                <w:szCs w:val="18"/>
              </w:rPr>
            </w:pPr>
            <w:r w:rsidRPr="00541AAE">
              <w:rPr>
                <w:rFonts w:ascii="Times New Roman" w:hAnsi="Times New Roman"/>
                <w:sz w:val="18"/>
                <w:szCs w:val="18"/>
              </w:rPr>
              <w:t>64</w:t>
            </w:r>
          </w:p>
        </w:tc>
        <w:tc>
          <w:tcPr>
            <w:tcW w:w="1593" w:type="dxa"/>
            <w:vAlign w:val="center"/>
          </w:tcPr>
          <w:p w14:paraId="7669B543" w14:textId="77777777" w:rsidR="00541AAE" w:rsidRPr="00541AAE" w:rsidRDefault="00541AAE" w:rsidP="00541AAE">
            <w:pPr>
              <w:spacing w:line="360" w:lineRule="auto"/>
              <w:contextualSpacing/>
              <w:jc w:val="center"/>
              <w:rPr>
                <w:rFonts w:ascii="Times New Roman" w:hAnsi="Times New Roman"/>
                <w:sz w:val="18"/>
                <w:szCs w:val="18"/>
              </w:rPr>
            </w:pPr>
            <w:r w:rsidRPr="00541AAE">
              <w:rPr>
                <w:rFonts w:ascii="Times New Roman" w:hAnsi="Times New Roman"/>
                <w:sz w:val="18"/>
                <w:szCs w:val="18"/>
              </w:rPr>
              <w:t>38,3</w:t>
            </w:r>
          </w:p>
          <w:p w14:paraId="505BD0B6" w14:textId="77777777" w:rsidR="00541AAE" w:rsidRPr="00541AAE" w:rsidRDefault="00541AAE" w:rsidP="00541AAE">
            <w:pPr>
              <w:spacing w:line="360" w:lineRule="auto"/>
              <w:contextualSpacing/>
              <w:jc w:val="center"/>
              <w:rPr>
                <w:rFonts w:ascii="Times New Roman" w:hAnsi="Times New Roman"/>
                <w:sz w:val="18"/>
                <w:szCs w:val="18"/>
              </w:rPr>
            </w:pPr>
            <w:r w:rsidRPr="00541AAE">
              <w:rPr>
                <w:rFonts w:ascii="Times New Roman" w:hAnsi="Times New Roman"/>
                <w:sz w:val="18"/>
                <w:szCs w:val="18"/>
              </w:rPr>
              <w:t>61,7</w:t>
            </w:r>
          </w:p>
        </w:tc>
      </w:tr>
      <w:tr w:rsidR="00541AAE" w:rsidRPr="00541AAE" w14:paraId="2B056BEA" w14:textId="77777777" w:rsidTr="005C2A4A">
        <w:trPr>
          <w:trHeight w:val="638"/>
        </w:trPr>
        <w:tc>
          <w:tcPr>
            <w:tcW w:w="805" w:type="dxa"/>
            <w:vAlign w:val="center"/>
          </w:tcPr>
          <w:p w14:paraId="7FDC8676" w14:textId="77777777" w:rsidR="00541AAE" w:rsidRPr="00541AAE" w:rsidRDefault="00541AAE" w:rsidP="00541AAE">
            <w:pPr>
              <w:jc w:val="center"/>
              <w:rPr>
                <w:rFonts w:ascii="Times New Roman" w:hAnsi="Times New Roman"/>
                <w:sz w:val="18"/>
                <w:szCs w:val="18"/>
                <w:lang w:eastAsia="id-ID"/>
              </w:rPr>
            </w:pPr>
            <w:r w:rsidRPr="00541AAE">
              <w:rPr>
                <w:rFonts w:ascii="Times New Roman" w:hAnsi="Times New Roman"/>
                <w:sz w:val="18"/>
                <w:szCs w:val="18"/>
                <w:lang w:eastAsia="id-ID"/>
              </w:rPr>
              <w:t>2</w:t>
            </w:r>
          </w:p>
          <w:p w14:paraId="4A1F6B75" w14:textId="77777777" w:rsidR="00541AAE" w:rsidRPr="00541AAE" w:rsidRDefault="00541AAE" w:rsidP="00541AAE">
            <w:pPr>
              <w:jc w:val="center"/>
              <w:rPr>
                <w:rFonts w:ascii="Times New Roman" w:hAnsi="Times New Roman"/>
                <w:sz w:val="18"/>
                <w:szCs w:val="18"/>
                <w:lang w:eastAsia="id-ID"/>
              </w:rPr>
            </w:pPr>
          </w:p>
          <w:p w14:paraId="326A3475" w14:textId="77777777" w:rsidR="00541AAE" w:rsidRPr="00541AAE" w:rsidRDefault="00541AAE" w:rsidP="00541AAE">
            <w:pPr>
              <w:jc w:val="center"/>
              <w:rPr>
                <w:rFonts w:ascii="Times New Roman" w:hAnsi="Times New Roman"/>
                <w:sz w:val="18"/>
                <w:szCs w:val="18"/>
                <w:lang w:eastAsia="id-ID"/>
              </w:rPr>
            </w:pPr>
          </w:p>
          <w:p w14:paraId="2F6B34E3" w14:textId="77777777" w:rsidR="00541AAE" w:rsidRPr="00541AAE" w:rsidRDefault="00541AAE" w:rsidP="00541AAE">
            <w:pPr>
              <w:jc w:val="center"/>
              <w:rPr>
                <w:rFonts w:ascii="Times New Roman" w:hAnsi="Times New Roman"/>
                <w:sz w:val="18"/>
                <w:szCs w:val="18"/>
                <w:lang w:eastAsia="id-ID"/>
              </w:rPr>
            </w:pPr>
          </w:p>
          <w:p w14:paraId="3ED8ADC6" w14:textId="77777777" w:rsidR="00541AAE" w:rsidRPr="00541AAE" w:rsidRDefault="00541AAE" w:rsidP="00541AAE">
            <w:pPr>
              <w:jc w:val="center"/>
              <w:rPr>
                <w:rFonts w:ascii="Times New Roman" w:hAnsi="Times New Roman"/>
                <w:sz w:val="18"/>
                <w:szCs w:val="18"/>
                <w:lang w:eastAsia="id-ID"/>
              </w:rPr>
            </w:pPr>
          </w:p>
          <w:p w14:paraId="198F5F72" w14:textId="77777777" w:rsidR="00541AAE" w:rsidRPr="00541AAE" w:rsidRDefault="00541AAE" w:rsidP="00541AAE">
            <w:pPr>
              <w:jc w:val="center"/>
              <w:rPr>
                <w:rFonts w:ascii="Times New Roman" w:hAnsi="Times New Roman"/>
                <w:sz w:val="18"/>
                <w:szCs w:val="18"/>
                <w:lang w:eastAsia="id-ID"/>
              </w:rPr>
            </w:pPr>
          </w:p>
          <w:p w14:paraId="2C4D5C13" w14:textId="77777777" w:rsidR="00541AAE" w:rsidRPr="00541AAE" w:rsidRDefault="00541AAE" w:rsidP="00541AAE">
            <w:pPr>
              <w:jc w:val="center"/>
              <w:rPr>
                <w:rFonts w:ascii="Times New Roman" w:hAnsi="Times New Roman"/>
                <w:sz w:val="18"/>
                <w:szCs w:val="18"/>
                <w:lang w:eastAsia="id-ID"/>
              </w:rPr>
            </w:pPr>
          </w:p>
        </w:tc>
        <w:tc>
          <w:tcPr>
            <w:tcW w:w="4770" w:type="dxa"/>
            <w:vAlign w:val="bottom"/>
          </w:tcPr>
          <w:p w14:paraId="2ED21F91" w14:textId="77777777" w:rsidR="00541AAE" w:rsidRPr="00541AAE" w:rsidRDefault="00541AAE" w:rsidP="00541AAE">
            <w:pPr>
              <w:spacing w:line="360" w:lineRule="auto"/>
              <w:rPr>
                <w:rFonts w:ascii="Times New Roman" w:hAnsi="Times New Roman"/>
                <w:sz w:val="18"/>
                <w:szCs w:val="18"/>
                <w:lang w:eastAsia="id-ID"/>
              </w:rPr>
            </w:pPr>
            <w:r w:rsidRPr="00541AAE">
              <w:rPr>
                <w:rFonts w:ascii="Times New Roman" w:hAnsi="Times New Roman"/>
                <w:sz w:val="18"/>
                <w:szCs w:val="18"/>
                <w:lang w:eastAsia="id-ID"/>
              </w:rPr>
              <w:t>Age</w:t>
            </w:r>
          </w:p>
          <w:p w14:paraId="4E11CF46" w14:textId="77777777" w:rsidR="00541AAE" w:rsidRPr="00541AAE" w:rsidRDefault="00541AAE" w:rsidP="00541AAE">
            <w:pPr>
              <w:spacing w:line="360" w:lineRule="auto"/>
              <w:rPr>
                <w:rFonts w:ascii="Times New Roman" w:hAnsi="Times New Roman"/>
                <w:sz w:val="18"/>
                <w:szCs w:val="18"/>
                <w:lang w:eastAsia="id-ID"/>
              </w:rPr>
            </w:pPr>
            <w:r w:rsidRPr="00541AAE">
              <w:rPr>
                <w:rFonts w:ascii="Times New Roman" w:hAnsi="Times New Roman"/>
                <w:sz w:val="18"/>
                <w:szCs w:val="18"/>
                <w:lang w:val="id-ID" w:eastAsia="id-ID"/>
              </w:rPr>
              <w:t xml:space="preserve">≤ 25 </w:t>
            </w:r>
          </w:p>
          <w:p w14:paraId="1C4982DA" w14:textId="77777777" w:rsidR="00541AAE" w:rsidRPr="00541AAE" w:rsidRDefault="00541AAE" w:rsidP="00541AAE">
            <w:pPr>
              <w:spacing w:line="360" w:lineRule="auto"/>
              <w:rPr>
                <w:rFonts w:ascii="Times New Roman" w:hAnsi="Times New Roman"/>
                <w:sz w:val="18"/>
                <w:szCs w:val="18"/>
                <w:lang w:eastAsia="id-ID"/>
              </w:rPr>
            </w:pPr>
            <w:r w:rsidRPr="00541AAE">
              <w:rPr>
                <w:rFonts w:ascii="Times New Roman" w:hAnsi="Times New Roman"/>
                <w:sz w:val="18"/>
                <w:szCs w:val="18"/>
                <w:lang w:eastAsia="id-ID"/>
              </w:rPr>
              <w:t xml:space="preserve">26-35 </w:t>
            </w:r>
          </w:p>
          <w:p w14:paraId="4B2DB78B" w14:textId="77777777" w:rsidR="00541AAE" w:rsidRPr="00541AAE" w:rsidRDefault="00541AAE" w:rsidP="00541AAE">
            <w:pPr>
              <w:spacing w:line="360" w:lineRule="auto"/>
              <w:rPr>
                <w:rFonts w:ascii="Times New Roman" w:hAnsi="Times New Roman"/>
                <w:sz w:val="18"/>
                <w:szCs w:val="18"/>
                <w:lang w:eastAsia="id-ID"/>
              </w:rPr>
            </w:pPr>
            <w:r w:rsidRPr="00541AAE">
              <w:rPr>
                <w:rFonts w:ascii="Times New Roman" w:hAnsi="Times New Roman"/>
                <w:sz w:val="18"/>
                <w:szCs w:val="18"/>
                <w:lang w:eastAsia="id-ID"/>
              </w:rPr>
              <w:t xml:space="preserve">36-45 </w:t>
            </w:r>
          </w:p>
          <w:p w14:paraId="33E71AE0" w14:textId="77777777" w:rsidR="00541AAE" w:rsidRPr="00541AAE" w:rsidRDefault="00541AAE" w:rsidP="00541AAE">
            <w:pPr>
              <w:spacing w:line="360" w:lineRule="auto"/>
              <w:rPr>
                <w:rFonts w:ascii="Times New Roman" w:hAnsi="Times New Roman"/>
                <w:sz w:val="18"/>
                <w:szCs w:val="18"/>
                <w:lang w:eastAsia="id-ID"/>
              </w:rPr>
            </w:pPr>
            <w:r w:rsidRPr="00541AAE">
              <w:rPr>
                <w:rFonts w:ascii="Times New Roman" w:hAnsi="Times New Roman"/>
                <w:sz w:val="18"/>
                <w:szCs w:val="18"/>
                <w:lang w:eastAsia="id-ID"/>
              </w:rPr>
              <w:t xml:space="preserve">&gt; 45 </w:t>
            </w:r>
          </w:p>
        </w:tc>
        <w:tc>
          <w:tcPr>
            <w:tcW w:w="1462" w:type="dxa"/>
            <w:vAlign w:val="bottom"/>
          </w:tcPr>
          <w:p w14:paraId="43FED2E0" w14:textId="77777777" w:rsidR="00541AAE" w:rsidRPr="00541AAE" w:rsidRDefault="00541AAE" w:rsidP="00541AAE">
            <w:pPr>
              <w:spacing w:line="360" w:lineRule="auto"/>
              <w:jc w:val="center"/>
              <w:rPr>
                <w:rFonts w:ascii="Times New Roman" w:hAnsi="Times New Roman"/>
                <w:sz w:val="18"/>
                <w:szCs w:val="18"/>
                <w:lang w:val="id-ID" w:eastAsia="id-ID"/>
              </w:rPr>
            </w:pPr>
            <w:r w:rsidRPr="00541AAE">
              <w:rPr>
                <w:rFonts w:ascii="Times New Roman" w:hAnsi="Times New Roman"/>
                <w:sz w:val="18"/>
                <w:szCs w:val="18"/>
                <w:lang w:val="id-ID" w:eastAsia="id-ID"/>
              </w:rPr>
              <w:t>12</w:t>
            </w:r>
          </w:p>
          <w:p w14:paraId="21ECAA80" w14:textId="77777777" w:rsidR="00541AAE" w:rsidRPr="00541AAE" w:rsidRDefault="00541AAE" w:rsidP="00541AAE">
            <w:pPr>
              <w:spacing w:line="360" w:lineRule="auto"/>
              <w:jc w:val="center"/>
              <w:rPr>
                <w:rFonts w:ascii="Times New Roman" w:hAnsi="Times New Roman"/>
                <w:sz w:val="18"/>
                <w:szCs w:val="18"/>
                <w:lang w:eastAsia="id-ID"/>
              </w:rPr>
            </w:pPr>
            <w:r w:rsidRPr="00541AAE">
              <w:rPr>
                <w:rFonts w:ascii="Times New Roman" w:hAnsi="Times New Roman"/>
                <w:sz w:val="18"/>
                <w:szCs w:val="18"/>
                <w:lang w:eastAsia="id-ID"/>
              </w:rPr>
              <w:t>136</w:t>
            </w:r>
          </w:p>
          <w:p w14:paraId="0F55C326" w14:textId="77777777" w:rsidR="00541AAE" w:rsidRPr="00541AAE" w:rsidRDefault="00541AAE" w:rsidP="00541AAE">
            <w:pPr>
              <w:spacing w:line="360" w:lineRule="auto"/>
              <w:jc w:val="center"/>
              <w:rPr>
                <w:rFonts w:ascii="Times New Roman" w:hAnsi="Times New Roman"/>
                <w:sz w:val="18"/>
                <w:szCs w:val="18"/>
                <w:lang w:eastAsia="id-ID"/>
              </w:rPr>
            </w:pPr>
            <w:r w:rsidRPr="00541AAE">
              <w:rPr>
                <w:rFonts w:ascii="Times New Roman" w:hAnsi="Times New Roman"/>
                <w:sz w:val="18"/>
                <w:szCs w:val="18"/>
                <w:lang w:eastAsia="id-ID"/>
              </w:rPr>
              <w:t>16</w:t>
            </w:r>
          </w:p>
          <w:p w14:paraId="682C49B1" w14:textId="77777777" w:rsidR="00541AAE" w:rsidRPr="00541AAE" w:rsidRDefault="00541AAE" w:rsidP="00541AAE">
            <w:pPr>
              <w:spacing w:line="360" w:lineRule="auto"/>
              <w:jc w:val="center"/>
              <w:rPr>
                <w:rFonts w:ascii="Times New Roman" w:hAnsi="Times New Roman"/>
                <w:sz w:val="18"/>
                <w:szCs w:val="18"/>
                <w:lang w:eastAsia="id-ID"/>
              </w:rPr>
            </w:pPr>
            <w:r w:rsidRPr="00541AAE">
              <w:rPr>
                <w:rFonts w:ascii="Times New Roman" w:hAnsi="Times New Roman"/>
                <w:sz w:val="18"/>
                <w:szCs w:val="18"/>
                <w:lang w:eastAsia="id-ID"/>
              </w:rPr>
              <w:t>3</w:t>
            </w:r>
          </w:p>
        </w:tc>
        <w:tc>
          <w:tcPr>
            <w:tcW w:w="1593" w:type="dxa"/>
            <w:vAlign w:val="bottom"/>
          </w:tcPr>
          <w:p w14:paraId="0613F0AF" w14:textId="77777777" w:rsidR="00541AAE" w:rsidRPr="00541AAE" w:rsidRDefault="00541AAE" w:rsidP="00541AAE">
            <w:pPr>
              <w:spacing w:line="360" w:lineRule="auto"/>
              <w:jc w:val="center"/>
              <w:rPr>
                <w:rFonts w:ascii="Times New Roman" w:hAnsi="Times New Roman"/>
                <w:sz w:val="18"/>
                <w:szCs w:val="18"/>
                <w:lang w:val="id-ID" w:eastAsia="id-ID"/>
              </w:rPr>
            </w:pPr>
            <w:r w:rsidRPr="00541AAE">
              <w:rPr>
                <w:rFonts w:ascii="Times New Roman" w:hAnsi="Times New Roman"/>
                <w:sz w:val="18"/>
                <w:szCs w:val="18"/>
                <w:lang w:val="id-ID" w:eastAsia="id-ID"/>
              </w:rPr>
              <w:t>7.2</w:t>
            </w:r>
          </w:p>
          <w:p w14:paraId="460513D5" w14:textId="77777777" w:rsidR="00541AAE" w:rsidRPr="00541AAE" w:rsidRDefault="00541AAE" w:rsidP="00541AAE">
            <w:pPr>
              <w:spacing w:line="360" w:lineRule="auto"/>
              <w:jc w:val="center"/>
              <w:rPr>
                <w:rFonts w:ascii="Times New Roman" w:hAnsi="Times New Roman"/>
                <w:sz w:val="18"/>
                <w:szCs w:val="18"/>
                <w:lang w:eastAsia="id-ID"/>
              </w:rPr>
            </w:pPr>
            <w:r w:rsidRPr="00541AAE">
              <w:rPr>
                <w:rFonts w:ascii="Times New Roman" w:hAnsi="Times New Roman"/>
                <w:sz w:val="18"/>
                <w:szCs w:val="18"/>
                <w:lang w:eastAsia="id-ID"/>
              </w:rPr>
              <w:t>81.4</w:t>
            </w:r>
          </w:p>
          <w:p w14:paraId="4BD6BD4D" w14:textId="77777777" w:rsidR="00541AAE" w:rsidRPr="00541AAE" w:rsidRDefault="00541AAE" w:rsidP="00541AAE">
            <w:pPr>
              <w:spacing w:line="360" w:lineRule="auto"/>
              <w:jc w:val="center"/>
              <w:rPr>
                <w:rFonts w:ascii="Times New Roman" w:hAnsi="Times New Roman"/>
                <w:sz w:val="18"/>
                <w:szCs w:val="18"/>
                <w:lang w:eastAsia="id-ID"/>
              </w:rPr>
            </w:pPr>
            <w:r w:rsidRPr="00541AAE">
              <w:rPr>
                <w:rFonts w:ascii="Times New Roman" w:hAnsi="Times New Roman"/>
                <w:sz w:val="18"/>
                <w:szCs w:val="18"/>
                <w:lang w:eastAsia="id-ID"/>
              </w:rPr>
              <w:t>9.6</w:t>
            </w:r>
          </w:p>
          <w:p w14:paraId="08291488" w14:textId="77777777" w:rsidR="00541AAE" w:rsidRPr="00541AAE" w:rsidRDefault="00541AAE" w:rsidP="00541AAE">
            <w:pPr>
              <w:spacing w:line="360" w:lineRule="auto"/>
              <w:jc w:val="center"/>
              <w:rPr>
                <w:rFonts w:ascii="Times New Roman" w:hAnsi="Times New Roman"/>
                <w:sz w:val="18"/>
                <w:szCs w:val="18"/>
                <w:lang w:eastAsia="id-ID"/>
              </w:rPr>
            </w:pPr>
            <w:r w:rsidRPr="00541AAE">
              <w:rPr>
                <w:rFonts w:ascii="Times New Roman" w:hAnsi="Times New Roman"/>
                <w:sz w:val="18"/>
                <w:szCs w:val="18"/>
                <w:lang w:eastAsia="id-ID"/>
              </w:rPr>
              <w:t>1.8</w:t>
            </w:r>
          </w:p>
        </w:tc>
      </w:tr>
      <w:tr w:rsidR="00541AAE" w:rsidRPr="00541AAE" w14:paraId="41BF3616" w14:textId="77777777" w:rsidTr="005C2A4A">
        <w:trPr>
          <w:trHeight w:val="638"/>
        </w:trPr>
        <w:tc>
          <w:tcPr>
            <w:tcW w:w="805" w:type="dxa"/>
            <w:vAlign w:val="center"/>
          </w:tcPr>
          <w:p w14:paraId="0A09C6EE" w14:textId="77777777" w:rsidR="00541AAE" w:rsidRPr="00541AAE" w:rsidRDefault="00541AAE" w:rsidP="00541AAE">
            <w:pPr>
              <w:jc w:val="center"/>
              <w:rPr>
                <w:rFonts w:ascii="Times New Roman" w:hAnsi="Times New Roman"/>
                <w:sz w:val="18"/>
                <w:szCs w:val="18"/>
                <w:lang w:eastAsia="id-ID"/>
              </w:rPr>
            </w:pPr>
            <w:r w:rsidRPr="00541AAE">
              <w:rPr>
                <w:rFonts w:ascii="Times New Roman" w:hAnsi="Times New Roman"/>
                <w:sz w:val="18"/>
                <w:szCs w:val="18"/>
                <w:lang w:eastAsia="id-ID"/>
              </w:rPr>
              <w:t>3</w:t>
            </w:r>
          </w:p>
        </w:tc>
        <w:tc>
          <w:tcPr>
            <w:tcW w:w="4770" w:type="dxa"/>
            <w:vAlign w:val="bottom"/>
          </w:tcPr>
          <w:p w14:paraId="3421408C" w14:textId="77777777" w:rsidR="00541AAE" w:rsidRPr="00541AAE" w:rsidRDefault="00541AAE" w:rsidP="00541AAE">
            <w:pPr>
              <w:spacing w:line="360" w:lineRule="auto"/>
              <w:contextualSpacing/>
              <w:rPr>
                <w:rFonts w:ascii="Times New Roman" w:hAnsi="Times New Roman"/>
                <w:sz w:val="18"/>
                <w:szCs w:val="18"/>
                <w:lang w:val="en"/>
              </w:rPr>
            </w:pPr>
            <w:r w:rsidRPr="00541AAE">
              <w:rPr>
                <w:rFonts w:ascii="Times New Roman" w:hAnsi="Times New Roman"/>
                <w:sz w:val="18"/>
                <w:szCs w:val="18"/>
                <w:lang w:val="en"/>
              </w:rPr>
              <w:t>Level of education</w:t>
            </w:r>
          </w:p>
          <w:p w14:paraId="7AB61B83" w14:textId="77777777" w:rsidR="00541AAE" w:rsidRPr="00541AAE" w:rsidRDefault="00541AAE" w:rsidP="00541AAE">
            <w:pPr>
              <w:spacing w:line="360" w:lineRule="auto"/>
              <w:contextualSpacing/>
              <w:rPr>
                <w:rFonts w:ascii="Times New Roman" w:hAnsi="Times New Roman"/>
                <w:sz w:val="18"/>
                <w:szCs w:val="18"/>
                <w:lang w:val="en"/>
              </w:rPr>
            </w:pPr>
            <w:r w:rsidRPr="00541AAE">
              <w:rPr>
                <w:rFonts w:ascii="Times New Roman" w:hAnsi="Times New Roman"/>
                <w:sz w:val="18"/>
                <w:szCs w:val="18"/>
                <w:lang w:val="en"/>
              </w:rPr>
              <w:t>Diploma of Nursing</w:t>
            </w:r>
          </w:p>
          <w:p w14:paraId="374A7CEE" w14:textId="77777777" w:rsidR="00541AAE" w:rsidRPr="00541AAE" w:rsidRDefault="00541AAE" w:rsidP="00541AAE">
            <w:pPr>
              <w:spacing w:line="360" w:lineRule="auto"/>
              <w:contextualSpacing/>
              <w:rPr>
                <w:rFonts w:ascii="Times New Roman" w:hAnsi="Times New Roman"/>
                <w:sz w:val="18"/>
                <w:szCs w:val="18"/>
                <w:lang w:val="en"/>
              </w:rPr>
            </w:pPr>
            <w:r w:rsidRPr="00541AAE">
              <w:rPr>
                <w:rFonts w:ascii="Times New Roman" w:hAnsi="Times New Roman"/>
                <w:sz w:val="18"/>
                <w:szCs w:val="18"/>
                <w:lang w:val="en"/>
              </w:rPr>
              <w:t>Bachelor of Nursing</w:t>
            </w:r>
          </w:p>
          <w:p w14:paraId="3FA7988B" w14:textId="77777777" w:rsidR="00541AAE" w:rsidRPr="00541AAE" w:rsidRDefault="00541AAE" w:rsidP="00541AAE">
            <w:pPr>
              <w:spacing w:line="360" w:lineRule="auto"/>
              <w:contextualSpacing/>
              <w:rPr>
                <w:rFonts w:ascii="Times New Roman" w:hAnsi="Times New Roman"/>
                <w:sz w:val="18"/>
                <w:szCs w:val="18"/>
              </w:rPr>
            </w:pPr>
            <w:r w:rsidRPr="00541AAE">
              <w:rPr>
                <w:rFonts w:ascii="Times New Roman" w:hAnsi="Times New Roman"/>
                <w:sz w:val="18"/>
                <w:szCs w:val="18"/>
                <w:lang w:val="en"/>
              </w:rPr>
              <w:t>Master</w:t>
            </w:r>
          </w:p>
        </w:tc>
        <w:tc>
          <w:tcPr>
            <w:tcW w:w="1462" w:type="dxa"/>
          </w:tcPr>
          <w:p w14:paraId="1B93DD6C" w14:textId="77777777" w:rsidR="00541AAE" w:rsidRPr="00541AAE" w:rsidRDefault="00541AAE" w:rsidP="00541AAE">
            <w:pPr>
              <w:spacing w:line="360" w:lineRule="auto"/>
              <w:jc w:val="center"/>
              <w:rPr>
                <w:rFonts w:ascii="Times New Roman" w:hAnsi="Times New Roman"/>
                <w:sz w:val="18"/>
                <w:szCs w:val="18"/>
              </w:rPr>
            </w:pPr>
          </w:p>
          <w:p w14:paraId="12A2324F"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82</w:t>
            </w:r>
          </w:p>
          <w:p w14:paraId="7370AB68" w14:textId="77777777" w:rsidR="00541AAE" w:rsidRPr="00541AAE" w:rsidRDefault="00541AAE" w:rsidP="00541AAE">
            <w:pPr>
              <w:spacing w:line="360" w:lineRule="auto"/>
              <w:contextualSpacing/>
              <w:jc w:val="center"/>
              <w:rPr>
                <w:rFonts w:ascii="Times New Roman" w:hAnsi="Times New Roman"/>
                <w:sz w:val="18"/>
                <w:szCs w:val="18"/>
              </w:rPr>
            </w:pPr>
            <w:r w:rsidRPr="00541AAE">
              <w:rPr>
                <w:rFonts w:ascii="Times New Roman" w:hAnsi="Times New Roman"/>
                <w:sz w:val="18"/>
                <w:szCs w:val="18"/>
              </w:rPr>
              <w:t>84</w:t>
            </w:r>
          </w:p>
          <w:p w14:paraId="446CA327" w14:textId="77777777" w:rsidR="00541AAE" w:rsidRPr="00541AAE" w:rsidRDefault="00541AAE" w:rsidP="00541AAE">
            <w:pPr>
              <w:spacing w:line="360" w:lineRule="auto"/>
              <w:contextualSpacing/>
              <w:jc w:val="center"/>
              <w:rPr>
                <w:rFonts w:ascii="Times New Roman" w:hAnsi="Times New Roman"/>
                <w:sz w:val="18"/>
                <w:szCs w:val="18"/>
              </w:rPr>
            </w:pPr>
            <w:r w:rsidRPr="00541AAE">
              <w:rPr>
                <w:rFonts w:ascii="Times New Roman" w:hAnsi="Times New Roman"/>
                <w:sz w:val="18"/>
                <w:szCs w:val="18"/>
              </w:rPr>
              <w:t>1</w:t>
            </w:r>
          </w:p>
        </w:tc>
        <w:tc>
          <w:tcPr>
            <w:tcW w:w="1593" w:type="dxa"/>
          </w:tcPr>
          <w:p w14:paraId="16BBD813" w14:textId="77777777" w:rsidR="00541AAE" w:rsidRPr="00541AAE" w:rsidRDefault="00541AAE" w:rsidP="00541AAE">
            <w:pPr>
              <w:spacing w:line="360" w:lineRule="auto"/>
              <w:jc w:val="center"/>
              <w:rPr>
                <w:rFonts w:ascii="Times New Roman" w:hAnsi="Times New Roman"/>
                <w:sz w:val="18"/>
                <w:szCs w:val="18"/>
              </w:rPr>
            </w:pPr>
          </w:p>
          <w:p w14:paraId="3F5D20A0"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49.1</w:t>
            </w:r>
          </w:p>
          <w:p w14:paraId="72B97E27"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50.3</w:t>
            </w:r>
          </w:p>
          <w:p w14:paraId="51298AD0" w14:textId="77777777" w:rsidR="00541AAE" w:rsidRPr="00541AAE" w:rsidRDefault="00541AAE" w:rsidP="00541AAE">
            <w:pPr>
              <w:spacing w:line="360" w:lineRule="auto"/>
              <w:contextualSpacing/>
              <w:jc w:val="center"/>
              <w:rPr>
                <w:rFonts w:ascii="Times New Roman" w:hAnsi="Times New Roman"/>
                <w:sz w:val="18"/>
                <w:szCs w:val="18"/>
              </w:rPr>
            </w:pPr>
            <w:r w:rsidRPr="00541AAE">
              <w:rPr>
                <w:rFonts w:ascii="Times New Roman" w:hAnsi="Times New Roman"/>
                <w:sz w:val="18"/>
                <w:szCs w:val="18"/>
              </w:rPr>
              <w:t>0.6</w:t>
            </w:r>
          </w:p>
        </w:tc>
      </w:tr>
      <w:tr w:rsidR="00541AAE" w:rsidRPr="00541AAE" w14:paraId="3C0FC362" w14:textId="77777777" w:rsidTr="005C2A4A">
        <w:trPr>
          <w:trHeight w:val="638"/>
        </w:trPr>
        <w:tc>
          <w:tcPr>
            <w:tcW w:w="805" w:type="dxa"/>
            <w:vAlign w:val="center"/>
          </w:tcPr>
          <w:p w14:paraId="5F8AD2BE" w14:textId="77777777" w:rsidR="00541AAE" w:rsidRPr="00541AAE" w:rsidRDefault="00541AAE" w:rsidP="00541AAE">
            <w:pPr>
              <w:jc w:val="center"/>
              <w:rPr>
                <w:rFonts w:ascii="Times New Roman" w:hAnsi="Times New Roman"/>
                <w:sz w:val="18"/>
                <w:szCs w:val="18"/>
                <w:lang w:eastAsia="id-ID"/>
              </w:rPr>
            </w:pPr>
            <w:r w:rsidRPr="00541AAE">
              <w:rPr>
                <w:rFonts w:ascii="Times New Roman" w:hAnsi="Times New Roman"/>
                <w:sz w:val="18"/>
                <w:szCs w:val="18"/>
                <w:lang w:eastAsia="id-ID"/>
              </w:rPr>
              <w:t>4</w:t>
            </w:r>
          </w:p>
        </w:tc>
        <w:tc>
          <w:tcPr>
            <w:tcW w:w="4770" w:type="dxa"/>
          </w:tcPr>
          <w:p w14:paraId="6BC39A50" w14:textId="77777777" w:rsidR="00541AAE" w:rsidRPr="00541AAE" w:rsidRDefault="00541AAE" w:rsidP="00541AAE">
            <w:pPr>
              <w:spacing w:line="360" w:lineRule="auto"/>
              <w:jc w:val="both"/>
              <w:rPr>
                <w:rFonts w:ascii="Times New Roman" w:hAnsi="Times New Roman"/>
                <w:sz w:val="18"/>
                <w:szCs w:val="18"/>
                <w:lang w:val="en"/>
              </w:rPr>
            </w:pPr>
            <w:r w:rsidRPr="00541AAE">
              <w:rPr>
                <w:rFonts w:ascii="Times New Roman" w:hAnsi="Times New Roman"/>
                <w:sz w:val="18"/>
                <w:szCs w:val="18"/>
                <w:lang w:val="en"/>
              </w:rPr>
              <w:t>Years of Work</w:t>
            </w:r>
          </w:p>
          <w:p w14:paraId="4A03E05B" w14:textId="77777777" w:rsidR="00541AAE" w:rsidRPr="00541AAE" w:rsidRDefault="00541AAE" w:rsidP="00541AAE">
            <w:pPr>
              <w:spacing w:line="360" w:lineRule="auto"/>
              <w:jc w:val="both"/>
              <w:rPr>
                <w:rFonts w:ascii="Times New Roman" w:hAnsi="Times New Roman"/>
                <w:sz w:val="18"/>
                <w:szCs w:val="18"/>
                <w:lang w:val="en"/>
              </w:rPr>
            </w:pPr>
            <w:r w:rsidRPr="00541AAE">
              <w:rPr>
                <w:rFonts w:ascii="Times New Roman" w:hAnsi="Times New Roman"/>
                <w:sz w:val="18"/>
                <w:szCs w:val="18"/>
                <w:lang w:val="en"/>
              </w:rPr>
              <w:t>≤ 5 years</w:t>
            </w:r>
          </w:p>
          <w:p w14:paraId="11C2CF1D" w14:textId="77777777" w:rsidR="00541AAE" w:rsidRPr="00541AAE" w:rsidRDefault="00541AAE" w:rsidP="00541AAE">
            <w:pPr>
              <w:spacing w:line="360" w:lineRule="auto"/>
              <w:jc w:val="both"/>
              <w:rPr>
                <w:rFonts w:ascii="Times New Roman" w:hAnsi="Times New Roman"/>
                <w:sz w:val="18"/>
                <w:szCs w:val="18"/>
                <w:lang w:val="en"/>
              </w:rPr>
            </w:pPr>
            <w:r w:rsidRPr="00541AAE">
              <w:rPr>
                <w:rFonts w:ascii="Times New Roman" w:hAnsi="Times New Roman"/>
                <w:sz w:val="18"/>
                <w:szCs w:val="18"/>
                <w:lang w:val="en"/>
              </w:rPr>
              <w:t>5-10 years</w:t>
            </w:r>
          </w:p>
          <w:p w14:paraId="79904D05" w14:textId="77777777" w:rsidR="00541AAE" w:rsidRPr="00541AAE" w:rsidRDefault="00541AAE" w:rsidP="00541AAE">
            <w:pPr>
              <w:spacing w:line="360" w:lineRule="auto"/>
              <w:jc w:val="both"/>
              <w:rPr>
                <w:rFonts w:ascii="Times New Roman" w:hAnsi="Times New Roman"/>
                <w:sz w:val="18"/>
                <w:szCs w:val="18"/>
                <w:lang w:val="en"/>
              </w:rPr>
            </w:pPr>
            <w:r w:rsidRPr="00541AAE">
              <w:rPr>
                <w:rFonts w:ascii="Times New Roman" w:hAnsi="Times New Roman"/>
                <w:sz w:val="18"/>
                <w:szCs w:val="18"/>
                <w:lang w:val="en"/>
              </w:rPr>
              <w:t xml:space="preserve">11-15 years </w:t>
            </w:r>
          </w:p>
          <w:p w14:paraId="2FE7AF94" w14:textId="77777777" w:rsidR="00541AAE" w:rsidRPr="00541AAE" w:rsidRDefault="00541AAE" w:rsidP="00541AAE">
            <w:pPr>
              <w:spacing w:line="360" w:lineRule="auto"/>
              <w:jc w:val="both"/>
              <w:rPr>
                <w:rFonts w:ascii="Times New Roman" w:hAnsi="Times New Roman"/>
                <w:sz w:val="18"/>
                <w:szCs w:val="18"/>
              </w:rPr>
            </w:pPr>
            <w:r w:rsidRPr="00541AAE">
              <w:rPr>
                <w:rFonts w:ascii="Times New Roman" w:hAnsi="Times New Roman"/>
                <w:sz w:val="18"/>
                <w:szCs w:val="18"/>
                <w:lang w:val="en"/>
              </w:rPr>
              <w:t>&gt; 15 years</w:t>
            </w:r>
          </w:p>
        </w:tc>
        <w:tc>
          <w:tcPr>
            <w:tcW w:w="1462" w:type="dxa"/>
          </w:tcPr>
          <w:p w14:paraId="664796DB" w14:textId="77777777" w:rsidR="00541AAE" w:rsidRPr="00541AAE" w:rsidRDefault="00541AAE" w:rsidP="00541AAE">
            <w:pPr>
              <w:spacing w:line="360" w:lineRule="auto"/>
              <w:jc w:val="center"/>
              <w:rPr>
                <w:rFonts w:ascii="Times New Roman" w:hAnsi="Times New Roman"/>
                <w:sz w:val="18"/>
                <w:szCs w:val="18"/>
              </w:rPr>
            </w:pPr>
          </w:p>
          <w:p w14:paraId="63734472"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94</w:t>
            </w:r>
          </w:p>
          <w:p w14:paraId="5815B10A"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57</w:t>
            </w:r>
          </w:p>
          <w:p w14:paraId="5335AE7D"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13</w:t>
            </w:r>
          </w:p>
          <w:p w14:paraId="4D73D3CA"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3</w:t>
            </w:r>
          </w:p>
        </w:tc>
        <w:tc>
          <w:tcPr>
            <w:tcW w:w="1593" w:type="dxa"/>
          </w:tcPr>
          <w:p w14:paraId="6F90D92D" w14:textId="77777777" w:rsidR="00541AAE" w:rsidRPr="00541AAE" w:rsidRDefault="00541AAE" w:rsidP="00541AAE">
            <w:pPr>
              <w:spacing w:line="360" w:lineRule="auto"/>
              <w:jc w:val="center"/>
              <w:rPr>
                <w:rFonts w:ascii="Times New Roman" w:hAnsi="Times New Roman"/>
                <w:sz w:val="18"/>
                <w:szCs w:val="18"/>
              </w:rPr>
            </w:pPr>
          </w:p>
          <w:p w14:paraId="22E889A9"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56.3</w:t>
            </w:r>
          </w:p>
          <w:p w14:paraId="4DF5EB0A"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34.1</w:t>
            </w:r>
          </w:p>
          <w:p w14:paraId="6E46C5E2"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7.8</w:t>
            </w:r>
          </w:p>
          <w:p w14:paraId="2C22547B"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1.8</w:t>
            </w:r>
          </w:p>
        </w:tc>
      </w:tr>
      <w:tr w:rsidR="00541AAE" w:rsidRPr="00541AAE" w14:paraId="34BDB403" w14:textId="77777777" w:rsidTr="005C2A4A">
        <w:trPr>
          <w:trHeight w:val="638"/>
        </w:trPr>
        <w:tc>
          <w:tcPr>
            <w:tcW w:w="805" w:type="dxa"/>
            <w:vAlign w:val="center"/>
          </w:tcPr>
          <w:p w14:paraId="43C75221" w14:textId="77777777" w:rsidR="00541AAE" w:rsidRPr="00541AAE" w:rsidRDefault="00541AAE" w:rsidP="00541AAE">
            <w:pPr>
              <w:jc w:val="center"/>
              <w:rPr>
                <w:rFonts w:ascii="Times New Roman" w:hAnsi="Times New Roman"/>
                <w:sz w:val="18"/>
                <w:szCs w:val="18"/>
                <w:lang w:eastAsia="id-ID"/>
              </w:rPr>
            </w:pPr>
            <w:r w:rsidRPr="00541AAE">
              <w:rPr>
                <w:rFonts w:ascii="Times New Roman" w:hAnsi="Times New Roman"/>
                <w:sz w:val="18"/>
                <w:szCs w:val="18"/>
                <w:lang w:eastAsia="id-ID"/>
              </w:rPr>
              <w:t>5</w:t>
            </w:r>
          </w:p>
        </w:tc>
        <w:tc>
          <w:tcPr>
            <w:tcW w:w="4770" w:type="dxa"/>
            <w:vAlign w:val="center"/>
          </w:tcPr>
          <w:p w14:paraId="50A6996C" w14:textId="77777777" w:rsidR="00541AAE" w:rsidRPr="00541AAE" w:rsidRDefault="00541AAE" w:rsidP="00541AAE">
            <w:pPr>
              <w:spacing w:line="360" w:lineRule="auto"/>
              <w:rPr>
                <w:rFonts w:ascii="Times New Roman" w:hAnsi="Times New Roman"/>
                <w:sz w:val="18"/>
                <w:szCs w:val="18"/>
                <w:lang w:val="en"/>
              </w:rPr>
            </w:pPr>
            <w:r w:rsidRPr="00541AAE">
              <w:rPr>
                <w:rFonts w:ascii="Times New Roman" w:hAnsi="Times New Roman"/>
                <w:sz w:val="18"/>
                <w:szCs w:val="18"/>
                <w:lang w:val="en"/>
              </w:rPr>
              <w:t>Training experience</w:t>
            </w:r>
          </w:p>
          <w:p w14:paraId="2258B17B" w14:textId="77777777" w:rsidR="00541AAE" w:rsidRPr="00541AAE" w:rsidRDefault="00541AAE" w:rsidP="00541AAE">
            <w:pPr>
              <w:spacing w:line="360" w:lineRule="auto"/>
              <w:rPr>
                <w:rFonts w:ascii="Times New Roman" w:hAnsi="Times New Roman"/>
                <w:sz w:val="18"/>
                <w:szCs w:val="18"/>
                <w:lang w:val="en"/>
              </w:rPr>
            </w:pPr>
            <w:r w:rsidRPr="00541AAE">
              <w:rPr>
                <w:rFonts w:ascii="Times New Roman" w:hAnsi="Times New Roman"/>
                <w:sz w:val="18"/>
                <w:szCs w:val="18"/>
                <w:lang w:val="en"/>
              </w:rPr>
              <w:t>Not</w:t>
            </w:r>
          </w:p>
          <w:p w14:paraId="3F9D8F14" w14:textId="77777777" w:rsidR="00541AAE" w:rsidRPr="00541AAE" w:rsidRDefault="00541AAE" w:rsidP="00541AAE">
            <w:pPr>
              <w:spacing w:line="360" w:lineRule="auto"/>
              <w:rPr>
                <w:rFonts w:ascii="Times New Roman" w:hAnsi="Times New Roman"/>
                <w:sz w:val="18"/>
                <w:szCs w:val="18"/>
              </w:rPr>
            </w:pPr>
            <w:r w:rsidRPr="00541AAE">
              <w:rPr>
                <w:rFonts w:ascii="Times New Roman" w:hAnsi="Times New Roman"/>
                <w:sz w:val="18"/>
                <w:szCs w:val="18"/>
                <w:lang w:val="en"/>
              </w:rPr>
              <w:t>Yes</w:t>
            </w:r>
          </w:p>
        </w:tc>
        <w:tc>
          <w:tcPr>
            <w:tcW w:w="1462" w:type="dxa"/>
            <w:vAlign w:val="center"/>
          </w:tcPr>
          <w:p w14:paraId="1A86D27A" w14:textId="77777777" w:rsidR="00541AAE" w:rsidRPr="00541AAE" w:rsidRDefault="00541AAE" w:rsidP="00541AAE">
            <w:pPr>
              <w:spacing w:line="360" w:lineRule="auto"/>
              <w:jc w:val="center"/>
              <w:rPr>
                <w:rFonts w:ascii="Times New Roman" w:hAnsi="Times New Roman"/>
                <w:sz w:val="18"/>
                <w:szCs w:val="18"/>
              </w:rPr>
            </w:pPr>
          </w:p>
          <w:p w14:paraId="41454E7D"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104</w:t>
            </w:r>
          </w:p>
          <w:p w14:paraId="1AE0E5C8"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63</w:t>
            </w:r>
          </w:p>
        </w:tc>
        <w:tc>
          <w:tcPr>
            <w:tcW w:w="1593" w:type="dxa"/>
            <w:vAlign w:val="center"/>
          </w:tcPr>
          <w:p w14:paraId="40DBF15D" w14:textId="77777777" w:rsidR="00541AAE" w:rsidRPr="00541AAE" w:rsidRDefault="00541AAE" w:rsidP="00541AAE">
            <w:pPr>
              <w:spacing w:line="360" w:lineRule="auto"/>
              <w:jc w:val="center"/>
              <w:rPr>
                <w:rFonts w:ascii="Times New Roman" w:hAnsi="Times New Roman"/>
                <w:sz w:val="18"/>
                <w:szCs w:val="18"/>
              </w:rPr>
            </w:pPr>
          </w:p>
          <w:p w14:paraId="50C7501B"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62.3</w:t>
            </w:r>
          </w:p>
          <w:p w14:paraId="0958F50D"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37.7</w:t>
            </w:r>
          </w:p>
        </w:tc>
      </w:tr>
      <w:tr w:rsidR="00541AAE" w:rsidRPr="00541AAE" w14:paraId="5347AACD" w14:textId="77777777" w:rsidTr="005C2A4A">
        <w:trPr>
          <w:trHeight w:val="638"/>
        </w:trPr>
        <w:tc>
          <w:tcPr>
            <w:tcW w:w="805" w:type="dxa"/>
            <w:vAlign w:val="center"/>
          </w:tcPr>
          <w:p w14:paraId="6CAFAB15" w14:textId="77777777" w:rsidR="00541AAE" w:rsidRPr="00541AAE" w:rsidRDefault="00541AAE" w:rsidP="00541AAE">
            <w:pPr>
              <w:jc w:val="center"/>
              <w:rPr>
                <w:rFonts w:ascii="Times New Roman" w:hAnsi="Times New Roman"/>
                <w:sz w:val="18"/>
                <w:szCs w:val="18"/>
                <w:lang w:eastAsia="id-ID"/>
              </w:rPr>
            </w:pPr>
            <w:r w:rsidRPr="00541AAE">
              <w:rPr>
                <w:rFonts w:ascii="Times New Roman" w:hAnsi="Times New Roman"/>
                <w:sz w:val="18"/>
                <w:szCs w:val="18"/>
                <w:lang w:eastAsia="id-ID"/>
              </w:rPr>
              <w:t>6</w:t>
            </w:r>
          </w:p>
        </w:tc>
        <w:tc>
          <w:tcPr>
            <w:tcW w:w="4770" w:type="dxa"/>
            <w:vAlign w:val="center"/>
          </w:tcPr>
          <w:p w14:paraId="2A433639" w14:textId="77777777" w:rsidR="00541AAE" w:rsidRPr="00541AAE" w:rsidRDefault="00541AAE" w:rsidP="00541AAE">
            <w:pPr>
              <w:spacing w:line="360" w:lineRule="auto"/>
              <w:rPr>
                <w:rFonts w:ascii="Times New Roman" w:hAnsi="Times New Roman"/>
                <w:sz w:val="18"/>
                <w:szCs w:val="18"/>
                <w:lang w:val="en"/>
              </w:rPr>
            </w:pPr>
            <w:r w:rsidRPr="00541AAE">
              <w:rPr>
                <w:rFonts w:ascii="Times New Roman" w:hAnsi="Times New Roman"/>
                <w:sz w:val="18"/>
                <w:szCs w:val="18"/>
                <w:lang w:val="en"/>
              </w:rPr>
              <w:t>Previous Disaster Response Experiences</w:t>
            </w:r>
          </w:p>
          <w:p w14:paraId="6F83EA44" w14:textId="77777777" w:rsidR="00541AAE" w:rsidRPr="00541AAE" w:rsidRDefault="00541AAE" w:rsidP="00541AAE">
            <w:pPr>
              <w:spacing w:line="360" w:lineRule="auto"/>
              <w:rPr>
                <w:rFonts w:ascii="Times New Roman" w:hAnsi="Times New Roman"/>
                <w:sz w:val="18"/>
                <w:szCs w:val="18"/>
                <w:lang w:val="en"/>
              </w:rPr>
            </w:pPr>
            <w:r w:rsidRPr="00541AAE">
              <w:rPr>
                <w:rFonts w:ascii="Times New Roman" w:hAnsi="Times New Roman"/>
                <w:sz w:val="18"/>
                <w:szCs w:val="18"/>
                <w:lang w:val="en"/>
              </w:rPr>
              <w:t>Not</w:t>
            </w:r>
          </w:p>
          <w:p w14:paraId="32BF306F" w14:textId="77777777" w:rsidR="00541AAE" w:rsidRPr="00541AAE" w:rsidRDefault="00541AAE" w:rsidP="00541AAE">
            <w:pPr>
              <w:spacing w:line="360" w:lineRule="auto"/>
              <w:rPr>
                <w:rFonts w:ascii="Times New Roman" w:hAnsi="Times New Roman"/>
                <w:sz w:val="18"/>
                <w:szCs w:val="18"/>
              </w:rPr>
            </w:pPr>
            <w:r w:rsidRPr="00541AAE">
              <w:rPr>
                <w:rFonts w:ascii="Times New Roman" w:hAnsi="Times New Roman"/>
                <w:sz w:val="18"/>
                <w:szCs w:val="18"/>
                <w:lang w:val="en"/>
              </w:rPr>
              <w:t>Yes</w:t>
            </w:r>
          </w:p>
        </w:tc>
        <w:tc>
          <w:tcPr>
            <w:tcW w:w="1462" w:type="dxa"/>
            <w:vAlign w:val="center"/>
          </w:tcPr>
          <w:p w14:paraId="6BB1E45E" w14:textId="77777777" w:rsidR="00541AAE" w:rsidRPr="00541AAE" w:rsidRDefault="00541AAE" w:rsidP="00541AAE">
            <w:pPr>
              <w:spacing w:line="360" w:lineRule="auto"/>
              <w:jc w:val="center"/>
              <w:rPr>
                <w:rFonts w:ascii="Times New Roman" w:hAnsi="Times New Roman"/>
                <w:sz w:val="18"/>
                <w:szCs w:val="18"/>
              </w:rPr>
            </w:pPr>
          </w:p>
          <w:p w14:paraId="2292E662"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82</w:t>
            </w:r>
          </w:p>
          <w:p w14:paraId="789CF75E"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85</w:t>
            </w:r>
          </w:p>
        </w:tc>
        <w:tc>
          <w:tcPr>
            <w:tcW w:w="1593" w:type="dxa"/>
            <w:vAlign w:val="center"/>
          </w:tcPr>
          <w:p w14:paraId="38CAD313" w14:textId="77777777" w:rsidR="00541AAE" w:rsidRPr="00541AAE" w:rsidRDefault="00541AAE" w:rsidP="00541AAE">
            <w:pPr>
              <w:spacing w:line="360" w:lineRule="auto"/>
              <w:jc w:val="center"/>
              <w:rPr>
                <w:rFonts w:ascii="Times New Roman" w:hAnsi="Times New Roman"/>
                <w:sz w:val="18"/>
                <w:szCs w:val="18"/>
              </w:rPr>
            </w:pPr>
          </w:p>
          <w:p w14:paraId="5810588B"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49.1</w:t>
            </w:r>
          </w:p>
          <w:p w14:paraId="0621A1C5" w14:textId="77777777" w:rsidR="00541AAE" w:rsidRPr="00541AAE" w:rsidRDefault="00541AAE" w:rsidP="00541AAE">
            <w:pPr>
              <w:spacing w:line="360" w:lineRule="auto"/>
              <w:jc w:val="center"/>
              <w:rPr>
                <w:rFonts w:ascii="Times New Roman" w:hAnsi="Times New Roman"/>
                <w:sz w:val="18"/>
                <w:szCs w:val="18"/>
              </w:rPr>
            </w:pPr>
            <w:r w:rsidRPr="00541AAE">
              <w:rPr>
                <w:rFonts w:ascii="Times New Roman" w:hAnsi="Times New Roman"/>
                <w:sz w:val="18"/>
                <w:szCs w:val="18"/>
              </w:rPr>
              <w:t>50.9</w:t>
            </w:r>
          </w:p>
        </w:tc>
      </w:tr>
    </w:tbl>
    <w:p w14:paraId="2944C71D" w14:textId="77777777" w:rsidR="00541AAE" w:rsidRPr="00541AAE" w:rsidRDefault="00541AAE" w:rsidP="00541AAE">
      <w:pPr>
        <w:spacing w:after="160" w:line="480" w:lineRule="auto"/>
        <w:jc w:val="both"/>
        <w:rPr>
          <w:rFonts w:ascii="Arial" w:eastAsia="Calibri" w:hAnsi="Arial" w:cs="Arial"/>
          <w:b/>
          <w:bCs/>
          <w:sz w:val="22"/>
          <w:szCs w:val="22"/>
        </w:rPr>
      </w:pPr>
    </w:p>
    <w:p w14:paraId="70882692" w14:textId="77777777" w:rsidR="00541AAE" w:rsidRPr="00541AAE" w:rsidRDefault="00541AAE" w:rsidP="00541AAE">
      <w:pPr>
        <w:spacing w:after="160" w:line="480" w:lineRule="auto"/>
        <w:ind w:left="720"/>
        <w:contextualSpacing/>
        <w:jc w:val="both"/>
        <w:rPr>
          <w:rFonts w:eastAsia="Calibri"/>
          <w:b/>
          <w:bCs/>
        </w:rPr>
      </w:pPr>
      <w:r w:rsidRPr="00541AAE">
        <w:rPr>
          <w:rFonts w:eastAsia="Calibri"/>
          <w:b/>
          <w:bCs/>
          <w:lang w:val="en"/>
        </w:rPr>
        <w:t>Table 2 Distribution of Respondents by Nurse's Perception of Hospital Facility Support and Disaster Management Preparedness.</w:t>
      </w:r>
    </w:p>
    <w:tbl>
      <w:tblPr>
        <w:tblW w:w="5096"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384"/>
        <w:gridCol w:w="588"/>
        <w:gridCol w:w="1438"/>
        <w:gridCol w:w="1181"/>
        <w:gridCol w:w="1098"/>
        <w:gridCol w:w="1268"/>
      </w:tblGrid>
      <w:tr w:rsidR="00541AAE" w:rsidRPr="00541AAE" w14:paraId="31874BAE" w14:textId="77777777" w:rsidTr="005C2A4A">
        <w:trPr>
          <w:trHeight w:val="300"/>
        </w:trPr>
        <w:tc>
          <w:tcPr>
            <w:tcW w:w="1889" w:type="pct"/>
            <w:shd w:val="clear" w:color="auto" w:fill="auto"/>
            <w:noWrap/>
            <w:vAlign w:val="center"/>
            <w:hideMark/>
          </w:tcPr>
          <w:p w14:paraId="323CB0E4" w14:textId="77777777" w:rsidR="00541AAE" w:rsidRPr="00541AAE" w:rsidRDefault="00541AAE" w:rsidP="00541AAE">
            <w:pPr>
              <w:jc w:val="center"/>
              <w:rPr>
                <w:b/>
                <w:bCs/>
                <w:lang w:eastAsia="id-ID"/>
              </w:rPr>
            </w:pPr>
            <w:r w:rsidRPr="00541AAE">
              <w:rPr>
                <w:b/>
                <w:bCs/>
                <w:lang w:eastAsia="id-ID"/>
              </w:rPr>
              <w:t>Variable</w:t>
            </w:r>
          </w:p>
        </w:tc>
        <w:tc>
          <w:tcPr>
            <w:tcW w:w="328" w:type="pct"/>
            <w:vAlign w:val="center"/>
          </w:tcPr>
          <w:p w14:paraId="5D5AEC6C" w14:textId="77777777" w:rsidR="00541AAE" w:rsidRPr="00541AAE" w:rsidRDefault="00541AAE" w:rsidP="00541AAE">
            <w:pPr>
              <w:jc w:val="center"/>
              <w:rPr>
                <w:b/>
                <w:bCs/>
                <w:lang w:eastAsia="id-ID"/>
              </w:rPr>
            </w:pPr>
            <w:r w:rsidRPr="00541AAE">
              <w:rPr>
                <w:b/>
                <w:bCs/>
                <w:lang w:eastAsia="id-ID"/>
              </w:rPr>
              <w:t>n</w:t>
            </w:r>
          </w:p>
        </w:tc>
        <w:tc>
          <w:tcPr>
            <w:tcW w:w="803" w:type="pct"/>
            <w:shd w:val="clear" w:color="auto" w:fill="auto"/>
            <w:noWrap/>
            <w:vAlign w:val="center"/>
            <w:hideMark/>
          </w:tcPr>
          <w:p w14:paraId="042CE406" w14:textId="77777777" w:rsidR="00541AAE" w:rsidRPr="00541AAE" w:rsidRDefault="00541AAE" w:rsidP="00541AAE">
            <w:pPr>
              <w:jc w:val="center"/>
              <w:rPr>
                <w:b/>
                <w:bCs/>
                <w:lang w:eastAsia="id-ID"/>
              </w:rPr>
            </w:pPr>
            <w:r w:rsidRPr="00541AAE">
              <w:rPr>
                <w:b/>
                <w:bCs/>
                <w:lang w:eastAsia="id-ID"/>
              </w:rPr>
              <w:t>Min</w:t>
            </w:r>
          </w:p>
        </w:tc>
        <w:tc>
          <w:tcPr>
            <w:tcW w:w="659" w:type="pct"/>
            <w:shd w:val="clear" w:color="auto" w:fill="auto"/>
            <w:noWrap/>
            <w:vAlign w:val="center"/>
            <w:hideMark/>
          </w:tcPr>
          <w:p w14:paraId="4934662A" w14:textId="77777777" w:rsidR="00541AAE" w:rsidRPr="00541AAE" w:rsidRDefault="00541AAE" w:rsidP="00541AAE">
            <w:pPr>
              <w:jc w:val="center"/>
              <w:rPr>
                <w:b/>
                <w:bCs/>
                <w:lang w:eastAsia="id-ID"/>
              </w:rPr>
            </w:pPr>
            <w:r w:rsidRPr="00541AAE">
              <w:rPr>
                <w:b/>
                <w:bCs/>
                <w:lang w:eastAsia="id-ID"/>
              </w:rPr>
              <w:t>Max</w:t>
            </w:r>
          </w:p>
        </w:tc>
        <w:tc>
          <w:tcPr>
            <w:tcW w:w="613" w:type="pct"/>
            <w:vAlign w:val="center"/>
          </w:tcPr>
          <w:p w14:paraId="7A4024A2" w14:textId="77777777" w:rsidR="00541AAE" w:rsidRPr="00541AAE" w:rsidRDefault="00541AAE" w:rsidP="00541AAE">
            <w:pPr>
              <w:jc w:val="center"/>
              <w:rPr>
                <w:b/>
                <w:bCs/>
                <w:lang w:eastAsia="id-ID"/>
              </w:rPr>
            </w:pPr>
            <w:r w:rsidRPr="00541AAE">
              <w:rPr>
                <w:b/>
                <w:bCs/>
                <w:lang w:eastAsia="id-ID"/>
              </w:rPr>
              <w:t>Median</w:t>
            </w:r>
          </w:p>
        </w:tc>
        <w:tc>
          <w:tcPr>
            <w:tcW w:w="708" w:type="pct"/>
            <w:vAlign w:val="center"/>
          </w:tcPr>
          <w:p w14:paraId="09CA50B8" w14:textId="77777777" w:rsidR="00541AAE" w:rsidRPr="00541AAE" w:rsidRDefault="00541AAE" w:rsidP="00541AAE">
            <w:pPr>
              <w:spacing w:after="160"/>
              <w:jc w:val="center"/>
              <w:rPr>
                <w:b/>
                <w:bCs/>
                <w:lang w:eastAsia="id-ID"/>
              </w:rPr>
            </w:pPr>
            <w:r w:rsidRPr="00541AAE">
              <w:rPr>
                <w:b/>
                <w:bCs/>
                <w:lang w:eastAsia="id-ID"/>
              </w:rPr>
              <w:t xml:space="preserve">Std. </w:t>
            </w:r>
            <w:r w:rsidRPr="00541AAE">
              <w:rPr>
                <w:b/>
                <w:bCs/>
                <w:lang w:val="en" w:eastAsia="id-ID"/>
              </w:rPr>
              <w:t>deviation</w:t>
            </w:r>
          </w:p>
        </w:tc>
      </w:tr>
      <w:tr w:rsidR="00541AAE" w:rsidRPr="00541AAE" w14:paraId="5C9A0546" w14:textId="77777777" w:rsidTr="005C2A4A">
        <w:trPr>
          <w:trHeight w:val="300"/>
        </w:trPr>
        <w:tc>
          <w:tcPr>
            <w:tcW w:w="1889" w:type="pct"/>
            <w:shd w:val="clear" w:color="auto" w:fill="auto"/>
            <w:noWrap/>
          </w:tcPr>
          <w:p w14:paraId="2E6F2BD4" w14:textId="77777777" w:rsidR="00541AAE" w:rsidRPr="00541AAE" w:rsidRDefault="00541AAE" w:rsidP="00541AAE">
            <w:pPr>
              <w:rPr>
                <w:rFonts w:eastAsia="Calibri"/>
                <w:lang w:val="sv-SE"/>
              </w:rPr>
            </w:pPr>
            <w:r w:rsidRPr="00541AAE">
              <w:rPr>
                <w:rFonts w:eastAsia="Calibri"/>
                <w:color w:val="222222"/>
                <w:lang w:val="en"/>
              </w:rPr>
              <w:t>Nurse's Perception of Hospital Facility Support</w:t>
            </w:r>
          </w:p>
        </w:tc>
        <w:tc>
          <w:tcPr>
            <w:tcW w:w="328" w:type="pct"/>
            <w:vAlign w:val="center"/>
          </w:tcPr>
          <w:p w14:paraId="79F120C7" w14:textId="77777777" w:rsidR="00541AAE" w:rsidRPr="00541AAE" w:rsidRDefault="00541AAE" w:rsidP="00541AAE">
            <w:pPr>
              <w:jc w:val="center"/>
              <w:rPr>
                <w:lang w:eastAsia="id-ID"/>
              </w:rPr>
            </w:pPr>
            <w:r w:rsidRPr="00541AAE">
              <w:rPr>
                <w:lang w:eastAsia="id-ID"/>
              </w:rPr>
              <w:t>167</w:t>
            </w:r>
          </w:p>
        </w:tc>
        <w:tc>
          <w:tcPr>
            <w:tcW w:w="803" w:type="pct"/>
            <w:shd w:val="clear" w:color="auto" w:fill="auto"/>
            <w:noWrap/>
            <w:vAlign w:val="center"/>
          </w:tcPr>
          <w:p w14:paraId="32837E69" w14:textId="77777777" w:rsidR="00541AAE" w:rsidRPr="00541AAE" w:rsidRDefault="00541AAE" w:rsidP="00541AAE">
            <w:pPr>
              <w:jc w:val="center"/>
              <w:rPr>
                <w:lang w:eastAsia="id-ID"/>
              </w:rPr>
            </w:pPr>
            <w:r w:rsidRPr="00541AAE">
              <w:rPr>
                <w:lang w:eastAsia="id-ID"/>
              </w:rPr>
              <w:t>24</w:t>
            </w:r>
          </w:p>
        </w:tc>
        <w:tc>
          <w:tcPr>
            <w:tcW w:w="659" w:type="pct"/>
            <w:shd w:val="clear" w:color="auto" w:fill="auto"/>
            <w:noWrap/>
            <w:vAlign w:val="center"/>
          </w:tcPr>
          <w:p w14:paraId="79954F64" w14:textId="77777777" w:rsidR="00541AAE" w:rsidRPr="00541AAE" w:rsidRDefault="00541AAE" w:rsidP="00541AAE">
            <w:pPr>
              <w:jc w:val="center"/>
              <w:rPr>
                <w:lang w:eastAsia="id-ID"/>
              </w:rPr>
            </w:pPr>
            <w:r w:rsidRPr="00541AAE">
              <w:rPr>
                <w:lang w:eastAsia="id-ID"/>
              </w:rPr>
              <w:t>60</w:t>
            </w:r>
          </w:p>
        </w:tc>
        <w:tc>
          <w:tcPr>
            <w:tcW w:w="613" w:type="pct"/>
            <w:vAlign w:val="center"/>
          </w:tcPr>
          <w:p w14:paraId="7013B9F1" w14:textId="77777777" w:rsidR="00541AAE" w:rsidRPr="00541AAE" w:rsidRDefault="00541AAE" w:rsidP="00541AAE">
            <w:pPr>
              <w:jc w:val="center"/>
              <w:rPr>
                <w:lang w:eastAsia="id-ID"/>
              </w:rPr>
            </w:pPr>
            <w:r w:rsidRPr="00541AAE">
              <w:rPr>
                <w:lang w:eastAsia="id-ID"/>
              </w:rPr>
              <w:t>43.57</w:t>
            </w:r>
          </w:p>
        </w:tc>
        <w:tc>
          <w:tcPr>
            <w:tcW w:w="708" w:type="pct"/>
            <w:vAlign w:val="center"/>
          </w:tcPr>
          <w:p w14:paraId="3FD15441" w14:textId="77777777" w:rsidR="00541AAE" w:rsidRPr="00541AAE" w:rsidRDefault="00541AAE" w:rsidP="00541AAE">
            <w:pPr>
              <w:jc w:val="center"/>
              <w:rPr>
                <w:lang w:eastAsia="id-ID"/>
              </w:rPr>
            </w:pPr>
            <w:r w:rsidRPr="00541AAE">
              <w:rPr>
                <w:lang w:eastAsia="id-ID"/>
              </w:rPr>
              <w:t>7.99</w:t>
            </w:r>
          </w:p>
        </w:tc>
      </w:tr>
      <w:tr w:rsidR="00541AAE" w:rsidRPr="00541AAE" w14:paraId="04ED48B0" w14:textId="77777777" w:rsidTr="005C2A4A">
        <w:trPr>
          <w:trHeight w:val="300"/>
        </w:trPr>
        <w:tc>
          <w:tcPr>
            <w:tcW w:w="1889" w:type="pct"/>
            <w:shd w:val="clear" w:color="auto" w:fill="auto"/>
            <w:noWrap/>
          </w:tcPr>
          <w:p w14:paraId="1BC92918" w14:textId="77777777" w:rsidR="00541AAE" w:rsidRPr="00541AAE" w:rsidRDefault="00541AAE" w:rsidP="00541AAE">
            <w:pPr>
              <w:rPr>
                <w:rFonts w:eastAsia="Calibri"/>
                <w:lang w:val="sv-SE"/>
              </w:rPr>
            </w:pPr>
            <w:r w:rsidRPr="00541AAE">
              <w:rPr>
                <w:rFonts w:eastAsia="Calibri"/>
                <w:color w:val="222222"/>
                <w:lang w:val="en"/>
              </w:rPr>
              <w:t>Disaster preparedness</w:t>
            </w:r>
          </w:p>
        </w:tc>
        <w:tc>
          <w:tcPr>
            <w:tcW w:w="328" w:type="pct"/>
            <w:vAlign w:val="center"/>
          </w:tcPr>
          <w:p w14:paraId="0F3A4F52" w14:textId="77777777" w:rsidR="00541AAE" w:rsidRPr="00541AAE" w:rsidRDefault="00541AAE" w:rsidP="00541AAE">
            <w:pPr>
              <w:jc w:val="center"/>
              <w:rPr>
                <w:lang w:eastAsia="id-ID"/>
              </w:rPr>
            </w:pPr>
            <w:r w:rsidRPr="00541AAE">
              <w:rPr>
                <w:lang w:eastAsia="id-ID"/>
              </w:rPr>
              <w:t>167</w:t>
            </w:r>
          </w:p>
        </w:tc>
        <w:tc>
          <w:tcPr>
            <w:tcW w:w="803" w:type="pct"/>
            <w:shd w:val="clear" w:color="auto" w:fill="auto"/>
            <w:noWrap/>
            <w:vAlign w:val="center"/>
          </w:tcPr>
          <w:p w14:paraId="4B01A8D9" w14:textId="77777777" w:rsidR="00541AAE" w:rsidRPr="00541AAE" w:rsidRDefault="00541AAE" w:rsidP="00541AAE">
            <w:pPr>
              <w:jc w:val="center"/>
              <w:rPr>
                <w:lang w:eastAsia="id-ID"/>
              </w:rPr>
            </w:pPr>
            <w:r w:rsidRPr="00541AAE">
              <w:rPr>
                <w:lang w:eastAsia="id-ID"/>
              </w:rPr>
              <w:t>90</w:t>
            </w:r>
          </w:p>
        </w:tc>
        <w:tc>
          <w:tcPr>
            <w:tcW w:w="659" w:type="pct"/>
            <w:shd w:val="clear" w:color="auto" w:fill="auto"/>
            <w:noWrap/>
            <w:vAlign w:val="center"/>
          </w:tcPr>
          <w:p w14:paraId="19B75F2E" w14:textId="77777777" w:rsidR="00541AAE" w:rsidRPr="00541AAE" w:rsidRDefault="00541AAE" w:rsidP="00541AAE">
            <w:pPr>
              <w:jc w:val="center"/>
              <w:rPr>
                <w:lang w:eastAsia="id-ID"/>
              </w:rPr>
            </w:pPr>
            <w:r w:rsidRPr="00541AAE">
              <w:rPr>
                <w:lang w:eastAsia="id-ID"/>
              </w:rPr>
              <w:t>234</w:t>
            </w:r>
          </w:p>
        </w:tc>
        <w:tc>
          <w:tcPr>
            <w:tcW w:w="613" w:type="pct"/>
            <w:vAlign w:val="center"/>
          </w:tcPr>
          <w:p w14:paraId="2ACB3317" w14:textId="77777777" w:rsidR="00541AAE" w:rsidRPr="00541AAE" w:rsidRDefault="00541AAE" w:rsidP="00541AAE">
            <w:pPr>
              <w:ind w:left="176"/>
              <w:jc w:val="center"/>
              <w:rPr>
                <w:lang w:eastAsia="id-ID"/>
              </w:rPr>
            </w:pPr>
            <w:r w:rsidRPr="00541AAE">
              <w:rPr>
                <w:lang w:eastAsia="id-ID"/>
              </w:rPr>
              <w:t>160.17</w:t>
            </w:r>
          </w:p>
        </w:tc>
        <w:tc>
          <w:tcPr>
            <w:tcW w:w="708" w:type="pct"/>
            <w:vAlign w:val="center"/>
          </w:tcPr>
          <w:p w14:paraId="5073C8DB" w14:textId="77777777" w:rsidR="00541AAE" w:rsidRPr="00541AAE" w:rsidRDefault="00541AAE" w:rsidP="00541AAE">
            <w:pPr>
              <w:jc w:val="center"/>
              <w:rPr>
                <w:lang w:eastAsia="id-ID"/>
              </w:rPr>
            </w:pPr>
            <w:r w:rsidRPr="00541AAE">
              <w:rPr>
                <w:lang w:eastAsia="id-ID"/>
              </w:rPr>
              <w:t>28.46</w:t>
            </w:r>
          </w:p>
        </w:tc>
      </w:tr>
    </w:tbl>
    <w:p w14:paraId="1FBDCA82" w14:textId="77777777" w:rsidR="00AA2F20" w:rsidRPr="00541AAE" w:rsidRDefault="00AA2F20" w:rsidP="00541AAE">
      <w:pPr>
        <w:spacing w:after="160" w:line="480" w:lineRule="auto"/>
        <w:ind w:left="720"/>
        <w:contextualSpacing/>
        <w:jc w:val="both"/>
        <w:rPr>
          <w:rFonts w:ascii="Arial" w:eastAsia="Calibri" w:hAnsi="Arial" w:cs="Arial"/>
          <w:b/>
          <w:bCs/>
          <w:sz w:val="22"/>
          <w:szCs w:val="22"/>
        </w:rPr>
      </w:pPr>
    </w:p>
    <w:p w14:paraId="08822F99" w14:textId="577148DC" w:rsidR="00541AAE" w:rsidRPr="00541AAE" w:rsidRDefault="00541AAE" w:rsidP="00541AAE">
      <w:pPr>
        <w:spacing w:line="480" w:lineRule="auto"/>
        <w:jc w:val="both"/>
        <w:rPr>
          <w:rFonts w:eastAsia="Calibri"/>
          <w:b/>
          <w:bCs/>
        </w:rPr>
      </w:pPr>
      <w:r w:rsidRPr="00541AAE">
        <w:rPr>
          <w:rFonts w:eastAsia="Calibri"/>
          <w:b/>
          <w:bCs/>
          <w:lang w:val="en"/>
        </w:rPr>
        <w:t xml:space="preserve">Table 3. Results Of </w:t>
      </w:r>
      <w:r>
        <w:rPr>
          <w:rFonts w:eastAsia="Calibri"/>
          <w:b/>
          <w:bCs/>
          <w:lang w:val="en"/>
        </w:rPr>
        <w:t xml:space="preserve">Bivariate </w:t>
      </w:r>
      <w:r w:rsidRPr="00541AAE">
        <w:rPr>
          <w:rFonts w:eastAsia="Calibri"/>
          <w:b/>
          <w:bCs/>
          <w:lang w:val="en"/>
        </w:rPr>
        <w:t>Analysis Of Independent Variables With Dependent Variables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75"/>
        <w:gridCol w:w="1221"/>
        <w:gridCol w:w="2816"/>
        <w:gridCol w:w="2376"/>
      </w:tblGrid>
      <w:tr w:rsidR="00541AAE" w:rsidRPr="00541AAE" w14:paraId="1962E6C6" w14:textId="77777777" w:rsidTr="005C2A4A">
        <w:trPr>
          <w:tblHeader/>
          <w:jc w:val="center"/>
        </w:trPr>
        <w:tc>
          <w:tcPr>
            <w:tcW w:w="2438" w:type="dxa"/>
            <w:tcBorders>
              <w:top w:val="single" w:sz="4" w:space="0" w:color="auto"/>
              <w:left w:val="nil"/>
              <w:bottom w:val="single" w:sz="4" w:space="0" w:color="auto"/>
              <w:right w:val="nil"/>
            </w:tcBorders>
            <w:vAlign w:val="center"/>
            <w:hideMark/>
          </w:tcPr>
          <w:p w14:paraId="0568BF9A" w14:textId="77777777" w:rsidR="00541AAE" w:rsidRPr="00541AAE" w:rsidRDefault="00541AAE" w:rsidP="00541AAE">
            <w:pPr>
              <w:ind w:left="-3" w:hanging="5"/>
              <w:jc w:val="center"/>
              <w:rPr>
                <w:rFonts w:eastAsia="Calibri"/>
                <w:b/>
                <w:color w:val="000000"/>
              </w:rPr>
            </w:pPr>
            <w:r w:rsidRPr="00541AAE">
              <w:rPr>
                <w:rFonts w:eastAsia="Calibri"/>
                <w:b/>
                <w:color w:val="000000"/>
              </w:rPr>
              <w:t>Variable</w:t>
            </w:r>
          </w:p>
        </w:tc>
        <w:tc>
          <w:tcPr>
            <w:tcW w:w="1252" w:type="dxa"/>
            <w:tcBorders>
              <w:top w:val="single" w:sz="4" w:space="0" w:color="auto"/>
              <w:left w:val="nil"/>
              <w:bottom w:val="single" w:sz="4" w:space="0" w:color="auto"/>
              <w:right w:val="nil"/>
            </w:tcBorders>
            <w:vAlign w:val="center"/>
            <w:hideMark/>
          </w:tcPr>
          <w:p w14:paraId="1E8B2135" w14:textId="77777777" w:rsidR="00541AAE" w:rsidRPr="00541AAE" w:rsidRDefault="00541AAE" w:rsidP="00541AAE">
            <w:pPr>
              <w:ind w:left="-3" w:hanging="5"/>
              <w:jc w:val="center"/>
              <w:rPr>
                <w:rFonts w:eastAsia="Calibri"/>
                <w:b/>
                <w:color w:val="000000"/>
              </w:rPr>
            </w:pPr>
            <w:r w:rsidRPr="00541AAE">
              <w:rPr>
                <w:rFonts w:eastAsia="Calibri"/>
                <w:b/>
                <w:color w:val="000000"/>
              </w:rPr>
              <w:t>N</w:t>
            </w:r>
          </w:p>
        </w:tc>
        <w:tc>
          <w:tcPr>
            <w:tcW w:w="2887" w:type="dxa"/>
            <w:tcBorders>
              <w:top w:val="single" w:sz="4" w:space="0" w:color="auto"/>
              <w:left w:val="nil"/>
              <w:bottom w:val="single" w:sz="4" w:space="0" w:color="auto"/>
              <w:right w:val="nil"/>
            </w:tcBorders>
            <w:vAlign w:val="center"/>
            <w:hideMark/>
          </w:tcPr>
          <w:p w14:paraId="5A85B2D0" w14:textId="77777777" w:rsidR="00541AAE" w:rsidRPr="00541AAE" w:rsidRDefault="00541AAE" w:rsidP="00541AAE">
            <w:pPr>
              <w:ind w:left="-3" w:hanging="5"/>
              <w:jc w:val="center"/>
              <w:rPr>
                <w:rFonts w:eastAsia="Calibri"/>
                <w:b/>
                <w:color w:val="000000"/>
                <w:lang w:val="id-ID"/>
              </w:rPr>
            </w:pPr>
            <w:r w:rsidRPr="00541AAE">
              <w:rPr>
                <w:rFonts w:eastAsia="Calibri"/>
                <w:b/>
                <w:color w:val="000000"/>
              </w:rPr>
              <w:t>Correlation coefficient</w:t>
            </w:r>
          </w:p>
        </w:tc>
        <w:tc>
          <w:tcPr>
            <w:tcW w:w="2449" w:type="dxa"/>
            <w:tcBorders>
              <w:top w:val="single" w:sz="4" w:space="0" w:color="auto"/>
              <w:left w:val="nil"/>
              <w:bottom w:val="single" w:sz="4" w:space="0" w:color="auto"/>
              <w:right w:val="nil"/>
            </w:tcBorders>
            <w:vAlign w:val="center"/>
            <w:hideMark/>
          </w:tcPr>
          <w:p w14:paraId="5629B71E" w14:textId="77777777" w:rsidR="00541AAE" w:rsidRPr="00541AAE" w:rsidRDefault="00541AAE" w:rsidP="00541AAE">
            <w:pPr>
              <w:ind w:left="-3" w:hanging="5"/>
              <w:jc w:val="center"/>
              <w:rPr>
                <w:rFonts w:eastAsia="Calibri"/>
                <w:b/>
                <w:color w:val="000000"/>
              </w:rPr>
            </w:pPr>
            <w:r w:rsidRPr="00541AAE">
              <w:rPr>
                <w:rFonts w:eastAsia="Calibri"/>
                <w:b/>
                <w:color w:val="000000"/>
              </w:rPr>
              <w:t>P-Value</w:t>
            </w:r>
          </w:p>
        </w:tc>
      </w:tr>
      <w:tr w:rsidR="00541AAE" w:rsidRPr="00541AAE" w14:paraId="31B7A183" w14:textId="77777777" w:rsidTr="005C2A4A">
        <w:trPr>
          <w:jc w:val="center"/>
        </w:trPr>
        <w:tc>
          <w:tcPr>
            <w:tcW w:w="2438" w:type="dxa"/>
            <w:tcBorders>
              <w:top w:val="single" w:sz="4" w:space="0" w:color="auto"/>
              <w:left w:val="nil"/>
              <w:bottom w:val="single" w:sz="4" w:space="0" w:color="auto"/>
              <w:right w:val="nil"/>
            </w:tcBorders>
            <w:hideMark/>
          </w:tcPr>
          <w:p w14:paraId="023BEA7D" w14:textId="77777777" w:rsidR="00541AAE" w:rsidRPr="00541AAE" w:rsidRDefault="00541AAE" w:rsidP="00541AAE">
            <w:pPr>
              <w:spacing w:line="276" w:lineRule="auto"/>
              <w:ind w:left="-3" w:hanging="5"/>
              <w:jc w:val="both"/>
              <w:rPr>
                <w:rFonts w:eastAsia="Calibri"/>
                <w:color w:val="000000"/>
              </w:rPr>
            </w:pPr>
            <w:r w:rsidRPr="00541AAE">
              <w:rPr>
                <w:rFonts w:eastAsia="Calibri"/>
                <w:color w:val="000000"/>
                <w:lang w:val="en"/>
              </w:rPr>
              <w:t>Hospital Facility Support</w:t>
            </w:r>
          </w:p>
        </w:tc>
        <w:tc>
          <w:tcPr>
            <w:tcW w:w="1252" w:type="dxa"/>
            <w:tcBorders>
              <w:top w:val="single" w:sz="4" w:space="0" w:color="auto"/>
              <w:left w:val="nil"/>
              <w:bottom w:val="single" w:sz="4" w:space="0" w:color="auto"/>
              <w:right w:val="nil"/>
            </w:tcBorders>
            <w:vAlign w:val="center"/>
            <w:hideMark/>
          </w:tcPr>
          <w:p w14:paraId="4F9F657F" w14:textId="77777777" w:rsidR="00541AAE" w:rsidRPr="00541AAE" w:rsidRDefault="00541AAE" w:rsidP="00541AAE">
            <w:pPr>
              <w:spacing w:after="14" w:line="276" w:lineRule="auto"/>
              <w:ind w:left="-3" w:hanging="5"/>
              <w:jc w:val="center"/>
              <w:rPr>
                <w:rFonts w:eastAsia="Calibri"/>
                <w:color w:val="000000"/>
                <w:lang w:val="id-ID"/>
              </w:rPr>
            </w:pPr>
            <w:r w:rsidRPr="00541AAE">
              <w:rPr>
                <w:rFonts w:eastAsia="Calibri"/>
                <w:color w:val="000000"/>
              </w:rPr>
              <w:t>167</w:t>
            </w:r>
          </w:p>
        </w:tc>
        <w:tc>
          <w:tcPr>
            <w:tcW w:w="2887" w:type="dxa"/>
            <w:tcBorders>
              <w:top w:val="single" w:sz="4" w:space="0" w:color="auto"/>
              <w:left w:val="nil"/>
              <w:bottom w:val="single" w:sz="4" w:space="0" w:color="auto"/>
              <w:right w:val="nil"/>
            </w:tcBorders>
            <w:vAlign w:val="center"/>
            <w:hideMark/>
          </w:tcPr>
          <w:p w14:paraId="310599CC" w14:textId="77777777" w:rsidR="00541AAE" w:rsidRPr="00541AAE" w:rsidRDefault="00541AAE" w:rsidP="00541AAE">
            <w:pPr>
              <w:spacing w:line="276" w:lineRule="auto"/>
              <w:ind w:left="-3" w:hanging="5"/>
              <w:jc w:val="center"/>
              <w:rPr>
                <w:rFonts w:eastAsia="Calibri"/>
                <w:color w:val="000000"/>
              </w:rPr>
            </w:pPr>
            <w:r w:rsidRPr="00541AAE">
              <w:rPr>
                <w:rFonts w:eastAsia="Calibri"/>
                <w:color w:val="000000"/>
              </w:rPr>
              <w:t>0.591</w:t>
            </w:r>
          </w:p>
        </w:tc>
        <w:tc>
          <w:tcPr>
            <w:tcW w:w="2449" w:type="dxa"/>
            <w:tcBorders>
              <w:top w:val="single" w:sz="4" w:space="0" w:color="auto"/>
              <w:left w:val="nil"/>
              <w:bottom w:val="single" w:sz="4" w:space="0" w:color="auto"/>
              <w:right w:val="nil"/>
            </w:tcBorders>
            <w:vAlign w:val="center"/>
            <w:hideMark/>
          </w:tcPr>
          <w:p w14:paraId="3EE9FDBA" w14:textId="77777777" w:rsidR="00541AAE" w:rsidRPr="00541AAE" w:rsidRDefault="00541AAE" w:rsidP="00541AAE">
            <w:pPr>
              <w:spacing w:line="276" w:lineRule="auto"/>
              <w:ind w:left="-3" w:hanging="5"/>
              <w:jc w:val="center"/>
              <w:rPr>
                <w:rFonts w:eastAsia="Calibri"/>
                <w:color w:val="000000"/>
              </w:rPr>
            </w:pPr>
            <w:r w:rsidRPr="00541AAE">
              <w:rPr>
                <w:rFonts w:eastAsia="Calibri"/>
                <w:color w:val="000000"/>
                <w:lang w:val="id-ID"/>
              </w:rPr>
              <w:t>0.</w:t>
            </w:r>
            <w:r w:rsidRPr="00541AAE">
              <w:rPr>
                <w:rFonts w:eastAsia="Calibri"/>
                <w:color w:val="000000"/>
              </w:rPr>
              <w:t>000</w:t>
            </w:r>
          </w:p>
        </w:tc>
      </w:tr>
    </w:tbl>
    <w:p w14:paraId="73F6B850" w14:textId="7938EC67" w:rsidR="00541AAE" w:rsidRDefault="00541AAE" w:rsidP="00541AAE">
      <w:pPr>
        <w:ind w:firstLine="720"/>
        <w:jc w:val="both"/>
      </w:pPr>
    </w:p>
    <w:p w14:paraId="17D21A17" w14:textId="723FA2C5" w:rsidR="00A85738" w:rsidRDefault="00A85738" w:rsidP="00541AAE">
      <w:pPr>
        <w:ind w:firstLine="720"/>
        <w:jc w:val="both"/>
      </w:pPr>
    </w:p>
    <w:p w14:paraId="0E54452C" w14:textId="51EE6826" w:rsidR="00A85738" w:rsidRDefault="00A85738" w:rsidP="00541AAE">
      <w:pPr>
        <w:ind w:firstLine="720"/>
        <w:jc w:val="both"/>
      </w:pPr>
    </w:p>
    <w:p w14:paraId="421E585D" w14:textId="77777777" w:rsidR="00A85738" w:rsidRPr="00541AAE" w:rsidRDefault="00A85738" w:rsidP="00541AAE">
      <w:pPr>
        <w:ind w:firstLine="720"/>
        <w:jc w:val="both"/>
      </w:pPr>
    </w:p>
    <w:p w14:paraId="3D32355F" w14:textId="1DBDFA9B" w:rsidR="00541AAE" w:rsidRPr="00541AAE" w:rsidRDefault="00541AAE" w:rsidP="00541AAE">
      <w:pPr>
        <w:pStyle w:val="ListParagraph"/>
        <w:numPr>
          <w:ilvl w:val="1"/>
          <w:numId w:val="19"/>
        </w:numPr>
        <w:ind w:left="450"/>
        <w:jc w:val="both"/>
        <w:rPr>
          <w:rFonts w:ascii="Times New Roman" w:hAnsi="Times New Roman"/>
          <w:b/>
          <w:bCs/>
          <w:sz w:val="20"/>
          <w:szCs w:val="20"/>
          <w:lang w:val="en"/>
        </w:rPr>
      </w:pPr>
      <w:r w:rsidRPr="00541AAE">
        <w:rPr>
          <w:rFonts w:ascii="Times New Roman" w:hAnsi="Times New Roman"/>
          <w:b/>
          <w:bCs/>
          <w:sz w:val="20"/>
          <w:szCs w:val="20"/>
        </w:rPr>
        <w:lastRenderedPageBreak/>
        <w:t xml:space="preserve"> </w:t>
      </w:r>
      <w:r w:rsidRPr="00541AAE">
        <w:rPr>
          <w:rFonts w:ascii="Times New Roman" w:hAnsi="Times New Roman"/>
          <w:b/>
          <w:bCs/>
          <w:sz w:val="20"/>
          <w:szCs w:val="20"/>
          <w:lang w:val="en"/>
        </w:rPr>
        <w:t>Nurse's Perception of Hospital Facilities Support and respondent disaster management preparedness.</w:t>
      </w:r>
    </w:p>
    <w:p w14:paraId="2600A8D7" w14:textId="44222A5C" w:rsidR="00541AAE" w:rsidRDefault="00C05F60" w:rsidP="00541AAE">
      <w:pPr>
        <w:ind w:firstLine="720"/>
        <w:jc w:val="both"/>
        <w:rPr>
          <w:lang w:val="en"/>
        </w:rPr>
      </w:pPr>
      <w:r w:rsidRPr="00C05F60">
        <w:rPr>
          <w:lang w:val="en"/>
        </w:rPr>
        <w:t>The results in this study indicate that the respondents’ perceptions of hospital facilities has an average value of 43.57 with a standard deviation of 7.99, while for the respondents’ perception of preparedness has an average value of 160.17 and a standard deviation of 28.46. This shows that the ability of emergency nurses at the Government Hospital in NTB in perceptions of hospital facility support</w:t>
      </w:r>
      <w:r w:rsidRPr="00C05F60">
        <w:rPr>
          <w:b/>
          <w:bCs/>
          <w:lang w:val="en"/>
        </w:rPr>
        <w:t xml:space="preserve"> </w:t>
      </w:r>
      <w:r w:rsidRPr="00C05F60">
        <w:rPr>
          <w:lang w:val="en"/>
        </w:rPr>
        <w:t>is at a moderate level. In terms of preparedness, their values ​​are also at a moderate level.</w:t>
      </w:r>
    </w:p>
    <w:p w14:paraId="2902EABB" w14:textId="77777777" w:rsidR="00C05F60" w:rsidRPr="00541AAE" w:rsidRDefault="00C05F60" w:rsidP="00541AAE">
      <w:pPr>
        <w:ind w:firstLine="720"/>
        <w:jc w:val="both"/>
        <w:rPr>
          <w:lang w:val="en"/>
        </w:rPr>
      </w:pPr>
    </w:p>
    <w:p w14:paraId="22F85B67" w14:textId="0C7A9289" w:rsidR="00541AAE" w:rsidRPr="00541AAE" w:rsidRDefault="00541AAE" w:rsidP="00541AAE">
      <w:pPr>
        <w:pStyle w:val="ListParagraph"/>
        <w:numPr>
          <w:ilvl w:val="1"/>
          <w:numId w:val="19"/>
        </w:numPr>
        <w:ind w:left="450"/>
        <w:jc w:val="both"/>
        <w:rPr>
          <w:rFonts w:ascii="Times New Roman" w:hAnsi="Times New Roman"/>
          <w:b/>
          <w:bCs/>
          <w:sz w:val="20"/>
          <w:szCs w:val="20"/>
        </w:rPr>
      </w:pPr>
      <w:r w:rsidRPr="00541AAE">
        <w:rPr>
          <w:rFonts w:ascii="Times New Roman" w:hAnsi="Times New Roman"/>
          <w:b/>
          <w:bCs/>
          <w:sz w:val="20"/>
          <w:szCs w:val="20"/>
        </w:rPr>
        <w:t>Correlation of Hospital Facility Support with Disaster Management Preparedness.</w:t>
      </w:r>
    </w:p>
    <w:p w14:paraId="2CD740BB" w14:textId="0A2E11DE" w:rsidR="00541AAE" w:rsidRPr="00541AAE" w:rsidRDefault="00C05F60" w:rsidP="00541AAE">
      <w:pPr>
        <w:ind w:firstLine="720"/>
        <w:jc w:val="both"/>
        <w:rPr>
          <w:lang w:val="en"/>
        </w:rPr>
      </w:pPr>
      <w:r w:rsidRPr="00C05F60">
        <w:rPr>
          <w:lang w:val="en"/>
        </w:rPr>
        <w:t>The analysis of the relationship between</w:t>
      </w:r>
      <w:r w:rsidRPr="00C05F60">
        <w:rPr>
          <w:b/>
          <w:bCs/>
        </w:rPr>
        <w:t xml:space="preserve"> </w:t>
      </w:r>
      <w:r w:rsidRPr="00C05F60">
        <w:t>hospital facility</w:t>
      </w:r>
      <w:r w:rsidRPr="00C05F60">
        <w:rPr>
          <w:lang w:val="en"/>
        </w:rPr>
        <w:t xml:space="preserve"> support and disaster management preparedness produced a correlation coefficient of 0.591 with a p-value of 0.000. It can be seen that the value of p &lt;alpha (5%). Therefore, it can be concluded that there is a positive and significant (unidirectional) relationship between infrastructure support and disaster management preparedness. It can be said that the better support of </w:t>
      </w:r>
      <w:r>
        <w:rPr>
          <w:lang w:val="en"/>
        </w:rPr>
        <w:t>facility</w:t>
      </w:r>
      <w:r w:rsidRPr="00C05F60">
        <w:rPr>
          <w:lang w:val="en"/>
        </w:rPr>
        <w:t xml:space="preserve"> is followed by the increase in disaster management preparedness. On the other hand, the lower support of </w:t>
      </w:r>
      <w:r>
        <w:rPr>
          <w:lang w:val="en"/>
        </w:rPr>
        <w:t>facility</w:t>
      </w:r>
      <w:r w:rsidRPr="00C05F60">
        <w:rPr>
          <w:lang w:val="en"/>
        </w:rPr>
        <w:t xml:space="preserve"> is followed by the decrease in disaster management preparedness.</w:t>
      </w:r>
      <w:r w:rsidR="00541AAE" w:rsidRPr="00541AAE">
        <w:rPr>
          <w:lang w:val="en"/>
        </w:rPr>
        <w:t>.</w:t>
      </w:r>
    </w:p>
    <w:p w14:paraId="75BE4ECE" w14:textId="77777777" w:rsidR="000F279B" w:rsidRPr="003D5B84" w:rsidRDefault="000F279B" w:rsidP="00904D6D">
      <w:pPr>
        <w:rPr>
          <w:b/>
          <w:bCs/>
          <w:lang w:val="id-ID"/>
        </w:rPr>
      </w:pPr>
    </w:p>
    <w:p w14:paraId="4188BF4A" w14:textId="4FA1998C" w:rsidR="000F279B" w:rsidRDefault="00541AAE" w:rsidP="00541AAE">
      <w:pPr>
        <w:pStyle w:val="ListParagraph"/>
        <w:numPr>
          <w:ilvl w:val="1"/>
          <w:numId w:val="19"/>
        </w:numPr>
        <w:ind w:left="450"/>
        <w:jc w:val="both"/>
        <w:rPr>
          <w:rFonts w:ascii="Times New Roman" w:hAnsi="Times New Roman"/>
          <w:b/>
          <w:bCs/>
          <w:sz w:val="20"/>
          <w:szCs w:val="20"/>
        </w:rPr>
      </w:pPr>
      <w:r w:rsidRPr="00541AAE">
        <w:rPr>
          <w:rFonts w:ascii="Times New Roman" w:hAnsi="Times New Roman"/>
          <w:b/>
          <w:bCs/>
          <w:sz w:val="20"/>
          <w:szCs w:val="20"/>
        </w:rPr>
        <w:t xml:space="preserve"> Discussion</w:t>
      </w:r>
    </w:p>
    <w:p w14:paraId="1E028B65" w14:textId="721E8590" w:rsidR="00C05F60" w:rsidRPr="00C05F60" w:rsidRDefault="00C05F60" w:rsidP="00C05F60">
      <w:pPr>
        <w:ind w:firstLine="720"/>
        <w:jc w:val="both"/>
        <w:rPr>
          <w:lang w:val="en"/>
        </w:rPr>
      </w:pPr>
      <w:r w:rsidRPr="00C05F60">
        <w:rPr>
          <w:lang w:val="en"/>
        </w:rPr>
        <w:t xml:space="preserve">The meaning of hospital facility support in this study is nurses' perceptions of the hospital facility and infrastructure support in improving nurse preparedness in disaster management. These findings indicate that the support of infrastructure is closely related to the preparedness of emergency nurses at the Government Hospital in NTB in disaster management. It can be said that the better support of infrastructure is followed by the increase in disaster management preparedness, and conversely the lower support of infrastructure is followed by the decrease in disaster management preparedness. The findings in this study are in line with previous findings by Hammad et al. </w:t>
      </w:r>
      <w:r w:rsidR="00A85738">
        <w:rPr>
          <w:lang w:val="en"/>
        </w:rPr>
        <w:fldChar w:fldCharType="begin" w:fldLock="1"/>
      </w:r>
      <w:r w:rsidR="00A85738">
        <w:rPr>
          <w:lang w:val="en"/>
        </w:rPr>
        <w:instrText>ADDIN CSL_CITATION {"citationItems":[{"id":"ITEM-1","itemData":{"DOI":"10.1016/j.aenj.2012.10.005","ISBN":"1574-6267 (Print)\\r1574-6267 (Linking)","ISSN":"15746267","PMID":"23217657","abstract":"Background: The aim of this review was to explore the current literature about working as a nurse in the emergency department (ED) during a disaster. Nurses play an important role in caring for patients that present to the ED following a disaster. While there is a great deal of literature written about disasters and disaster response, little has been written from the emergency nursing perspective. Methods: Literature was identified through electronic databases from 2000 to 2011. Articles were reviewed if they provided discussion relevant to nursing in the ED during a disaster. Results: 18 articles met the criteria. Five themes emerged from the review. There were two key findings: changes from a 'normal' working day to a disaster; and the preparedness of nurses working in the ED during a disaster. Conclusions: The literature highlights concern about the preparedness of ED nurses for disaster response and the capacity of nurses to transition to working in a disaster situation. © 2012 College of Emergency Nursing Australasia Ltd.","author":[{"dropping-particle":"","family":"Hammad","given":"Karen S.","non-dropping-particle":"","parse-names":false,"suffix":""},{"dropping-particle":"","family":"Arbon","given":"Paul","non-dropping-particle":"","parse-names":false,"suffix":""},{"dropping-particle":"","family":"Gebbie","given":"Kristine","non-dropping-particle":"","parse-names":false,"suffix":""},{"dropping-particle":"","family":"Hutton","given":"Alison","non-dropping-particle":"","parse-names":false,"suffix":""}],"container-title":"Australasian Emergency Nursing Journal","id":"ITEM-1","issue":"4","issued":{"date-parts":[["2012"]]},"page":"235-244","publisher":"College of Emergency Nursing Australasia","title":"Nursing in the emergency department (ED) during a disaster: A review of the current literature","type":"article-journal","volume":"15"},"uris":["http://www.mendeley.com/documents/?uuid=7b75dce3-793e-4ed0-a19f-db710b7f47da"]}],"mendeley":{"formattedCitation":"[17]","plainTextFormattedCitation":"[17]","previouslyFormattedCitation":"[17]"},"properties":{"noteIndex":0},"schema":"https://github.com/citation-style-language/schema/raw/master/csl-citation.json"}</w:instrText>
      </w:r>
      <w:r w:rsidR="00A85738">
        <w:rPr>
          <w:lang w:val="en"/>
        </w:rPr>
        <w:fldChar w:fldCharType="separate"/>
      </w:r>
      <w:r w:rsidR="00A85738" w:rsidRPr="00A85738">
        <w:rPr>
          <w:noProof/>
          <w:lang w:val="en"/>
        </w:rPr>
        <w:t>[17]</w:t>
      </w:r>
      <w:r w:rsidR="00A85738">
        <w:rPr>
          <w:lang w:val="en"/>
        </w:rPr>
        <w:fldChar w:fldCharType="end"/>
      </w:r>
      <w:r w:rsidR="00A85738">
        <w:rPr>
          <w:lang w:val="en"/>
        </w:rPr>
        <w:t xml:space="preserve"> </w:t>
      </w:r>
      <w:r w:rsidRPr="00C05F60">
        <w:rPr>
          <w:lang w:val="en"/>
        </w:rPr>
        <w:t>suggesting that when the hospital disaster plan is activated, backup support resources are immediately distributed to support services in the emergency room, both in the form of medical equipment, medicines to additional personnel for supporting the sustainability of services during disaster response.</w:t>
      </w:r>
    </w:p>
    <w:p w14:paraId="778ECE0B" w14:textId="4315C871" w:rsidR="00A85738" w:rsidRPr="00A85738" w:rsidRDefault="00A85738" w:rsidP="00A85738">
      <w:pPr>
        <w:ind w:firstLine="720"/>
        <w:jc w:val="both"/>
      </w:pPr>
      <w:r w:rsidRPr="00A85738">
        <w:rPr>
          <w:lang w:val="en"/>
        </w:rPr>
        <w:t xml:space="preserve">Hospitals and other health facilities are vital assets for the community, especially when disasters occur. Dealing with a large number of patients exceeding normal operating capacities, it is inevitable for hospitals to respond effectively to disasters </w:t>
      </w:r>
      <w:bookmarkStart w:id="0" w:name="_Hlk42678454"/>
      <w:r w:rsidRPr="00A85738">
        <w:fldChar w:fldCharType="begin" w:fldLock="1"/>
      </w:r>
      <w:r>
        <w:instrText>ADDIN CSL_CITATION {"citationItems":[{"id":"ITEM-1","itemData":{"DOI":"10.1017/S1049023X1400123X","ISSN":"19451938","abstract":"Introduction Surge capacity, or the ability to manage an extraordinary volume of patients, is fundamental for hospital management of mass-casualty incidents. However, quantification of surge capacity is difficult and no universal standard for its measurement has emerged, nor has a standardized statistical method been advocated. As mass-casualty incidents are rare, simulation may represent a viable alternative to measure surge capacity.\nHypothesis/Problem The objective of the current study was to develop a statistical method for the quantification of surge capacity using a combination of computer simulation and simple process-control statistical tools. Length-of-stay (LOS) and patient volume (PV) were used as metrics. The use of this method was then demonstrated on a subsequent computer simulation of an emergency department (ED) response to a mass-casualty incident.\nMethods In the derivation phase, 357 participants in five countries performed 62 computer simulations of an ED response to a mass-casualty incident. Benchmarks for ED response were derived from these simulations, including LOS and PV metrics for triage, bed assignment, physician assessment, and disposition. In the application phase, 13 students of the European Master in Disaster Medicine (EMDM) program completed the same simulation scenario, and the results were compared to the standards obtained in the derivation phase.\nResults Patient-volume metrics included number of patients to be triaged, assigned to rooms, assessed by a physician, and disposed. Length-of-stay metrics included median time to triage, room assignment, physician assessment, and disposition. Simple graphical methods were used to compare the application phase group to the derived benchmarks using process-control statistical tools. The group in the application phase failed to meet the indicated standard for LOS from admission to disposition decision.\nConclusions This study demonstrates how simulation software can be used to derive values for objective benchmarks of ED surge capacity using PV and LOS metrics. These objective metrics can then be applied to other simulation groups using simple graphical process-control tools to provide a numeric measure of surge capacity. Repeated use in simulations of actual EDs may represent a potential means of objectively quantifying disaster management surge capacity. It is hoped that the described statistical method, which is simple and reusable, will be useful for investigators in this fie…","author":[{"dropping-particle":"","family":"Franc","given":"Jeffrey Michael","non-dropping-particle":"","parse-names":false,"suffix":""},{"dropping-particle":"","family":"Ingrassia","given":"Pier Luigi","non-dropping-particle":"","parse-names":false,"suffix":""},{"dropping-particle":"","family":"Verde","given":"Manuela","non-dropping-particle":"","parse-names":false,"suffix":""},{"dropping-particle":"","family":"Colombo","given":"Davide","non-dropping-particle":"","parse-names":false,"suffix":""},{"dropping-particle":"","family":"Corte","given":"Francesco","non-dropping-particle":"Della","parse-names":false,"suffix":""}],"container-title":"Prehospital and Disaster Medicine","id":"ITEM-1","issue":"1","issued":{"date-parts":[["2014"]]},"title":"A simple graphical method for quantification of disaster management surge capacity using computer simulation and process-control tools","type":"article-journal","volume":"30"},"uris":["http://www.mendeley.com/documents/?uuid=0a59b1ef-6a2c-4715-9614-6940632fafaf"]}],"mendeley":{"formattedCitation":"[21]","plainTextFormattedCitation":"[21]","previouslyFormattedCitation":"(Franc et al., 2014)"},"properties":{"noteIndex":0},"schema":"https://github.com/citation-style-language/schema/raw/master/csl-citation.json"}</w:instrText>
      </w:r>
      <w:r w:rsidRPr="00A85738">
        <w:fldChar w:fldCharType="separate"/>
      </w:r>
      <w:r w:rsidRPr="00A85738">
        <w:rPr>
          <w:iCs/>
          <w:noProof/>
        </w:rPr>
        <w:t>[21]</w:t>
      </w:r>
      <w:r w:rsidRPr="00A85738">
        <w:rPr>
          <w:lang w:val="en"/>
        </w:rPr>
        <w:fldChar w:fldCharType="end"/>
      </w:r>
      <w:bookmarkEnd w:id="0"/>
      <w:r w:rsidRPr="00A85738">
        <w:t xml:space="preserve">. </w:t>
      </w:r>
      <w:r w:rsidRPr="00A85738">
        <w:rPr>
          <w:lang w:val="en"/>
        </w:rPr>
        <w:t xml:space="preserve">One problem that has preoccupied the disaster planning team in health care is measuring readiness for hospital surge capacity </w:t>
      </w:r>
      <w:r w:rsidRPr="00A85738">
        <w:fldChar w:fldCharType="begin" w:fldLock="1"/>
      </w:r>
      <w:r>
        <w:instrText>ADDIN CSL_CITATION {"citationItems":[{"id":"ITEM-1","itemData":{"DOI":"10.3402/gha.v7.24986","ISSN":"16549880","abstract":"Background: Despite the importance of an effective health system response to various disasters, relevant research is still in its infancy, especially in middle- and low-income countries. Objective: This paper provides an overview of the status of disaster health management in China, with its aim to promote the effectiveness of the health response for reducing disaster-related mortality and morbidity. Design: A scoping review method was used to address the recent progress of and challenges to disaster health management in China. Major health electronic databases were searched to identify English and Chinese literature that were relevant to the research aims. Results: The review found that since 2003 considerable progress has been achieved in the health disaster response system in China. However, there remain challenges that hinder effective health disaster responses, including low standards of disaster-resistant infrastructure safety, the lack of specific disaster plans, poor emergency coordination between hospitals, lack of portable diagnostic equipment and underdeveloped triage skills, surge capacity, and psychological interventions. Additional challenges include the fragmentation of the emergency health service system, a lack of specific legislation for emergencies, disparities in the distribution of funding, and inadequate cost-effective considerations for disaster rescue. Conclusions: One solution identified to address these challenges appears to be through corresponding policy strategies at multiple levels (e.g. community, hospital, and healthcare system level).","author":[{"dropping-particle":"","family":"Zhong","given":"Shuang","non-dropping-particle":"","parse-names":false,"suffix":""},{"dropping-particle":"","family":"Clark","given":"Michele","non-dropping-particle":"","parse-names":false,"suffix":""},{"dropping-particle":"","family":"Hou","given":"Xiang Yu","non-dropping-particle":"","parse-names":false,"suffix":""},{"dropping-particle":"","family":"Zang","given":"Yuli","non-dropping-particle":"","parse-names":false,"suffix":""},{"dropping-particle":"","family":"FitzGerald","given":"Gerard","non-dropping-particle":"","parse-names":false,"suffix":""}],"container-title":"Global Health Action","id":"ITEM-1","issue":"1","issued":{"date-parts":[["2014"]]},"title":"Progress and challenges of disaster health management in China: A scoping review","type":"article-journal","volume":"7"},"uris":["http://www.mendeley.com/documents/?uuid=eac745aa-b45e-4003-ace6-8cd2f729e225"]}],"mendeley":{"formattedCitation":"[22]","plainTextFormattedCitation":"[22]","previouslyFormattedCitation":"(Zhong et al., 2014)"},"properties":{"noteIndex":0},"schema":"https://github.com/citation-style-language/schema/raw/master/csl-citation.json"}</w:instrText>
      </w:r>
      <w:r w:rsidRPr="00A85738">
        <w:fldChar w:fldCharType="separate"/>
      </w:r>
      <w:r w:rsidRPr="00A85738">
        <w:rPr>
          <w:noProof/>
        </w:rPr>
        <w:t>[22]</w:t>
      </w:r>
      <w:r w:rsidRPr="00A85738">
        <w:rPr>
          <w:lang w:val="en"/>
        </w:rPr>
        <w:fldChar w:fldCharType="end"/>
      </w:r>
      <w:r w:rsidRPr="00A85738">
        <w:t xml:space="preserve">. </w:t>
      </w:r>
      <w:r w:rsidRPr="00A85738">
        <w:rPr>
          <w:lang w:val="en"/>
        </w:rPr>
        <w:t xml:space="preserve">As health service centers, hospitals must ensure adequate facilities and infrastructure to support all patient services that can run well. This may be fulfilled when the condition is normal. However, when a disaster occurs, the health care facility may be damaged and unable to provide the usual level of service to new patients; existing patients may need to be evacuated to safer places </w:t>
      </w:r>
      <w:r w:rsidRPr="00A85738">
        <w:fldChar w:fldCharType="begin" w:fldLock="1"/>
      </w:r>
      <w:r>
        <w:instrText>ADDIN CSL_CITATION {"citationItems":[{"id":"ITEM-1","itemData":{"ISBN":"9780521168007","author":[{"dropping-particle":"","family":"Powers","given":"Robert.","non-dropping-particle":"","parse-names":false,"suffix":""},{"dropping-particle":"","family":"Daily","given":"Elaine.","non-dropping-particle":"","parse-names":false,"suffix":""}],"edition":"1","id":"ITEM-1","issued":{"date-parts":[["2010"]]},"number-of-pages":"22-23","publisher":"Cambridge University Press","publisher-place":"New York","title":"International Disaster Nursing","type":"book"},"uris":["http://www.mendeley.com/documents/?uuid=d3688939-cbcf-4666-94b9-0d63d93e14b7"]}],"mendeley":{"formattedCitation":"[23]","plainTextFormattedCitation":"[23]","previouslyFormattedCitation":"(Powers &amp; Daily, 2010)"},"properties":{"noteIndex":0},"schema":"https://github.com/citation-style-language/schema/raw/master/csl-citation.json"}</w:instrText>
      </w:r>
      <w:r w:rsidRPr="00A85738">
        <w:fldChar w:fldCharType="separate"/>
      </w:r>
      <w:r w:rsidRPr="00A85738">
        <w:rPr>
          <w:noProof/>
        </w:rPr>
        <w:t>[23]</w:t>
      </w:r>
      <w:r w:rsidRPr="00A85738">
        <w:rPr>
          <w:lang w:val="en"/>
        </w:rPr>
        <w:fldChar w:fldCharType="end"/>
      </w:r>
      <w:r w:rsidRPr="00A85738">
        <w:rPr>
          <w:lang w:val="en"/>
        </w:rPr>
        <w:t xml:space="preserve">. Important logistic services such as gas, electricity, water supply, and some digital systems may be disrupted and hospitals may experience an increase of patients from people seeking care and protection after the incident </w:t>
      </w:r>
      <w:r w:rsidRPr="00A85738">
        <w:fldChar w:fldCharType="begin" w:fldLock="1"/>
      </w:r>
      <w:r>
        <w:instrText>ADDIN CSL_CITATION {"citationItems":[{"id":"ITEM-1","itemData":{"DOI":"10.1186/s13167-014-0024-9","ISSN":"18785085","abstract":"The United Nations has recognized the devastating consequences of \" unpredictable, unpreventable and impersonal\" disasters-at least US $2 trillion in economic damage and more than 1.3 million lives lost from natural disasters in the last two decades alone. In many disasters (both natural and man-made) hundreds-and in major earthquakes, thousands-of lives are lost in the first days following the event because of the lack of medical/surgical facilities to treat those with potentially survivable injuries. Disasters disrupt and destroy not only medical facilities in the disaster zone but also infrastructure (roads, airports, electricity) and potentially local healthcare personnel as well. To minimize morbidity and mortality from disasters, medical treatment must begin immediately, within minutes ideally, but certainly within 24 h (not the days to weeks currently seen in medical response to disasters). This requires that all resources-medical equipment and support, and healthcare personnel-be portable and readily available; transport to the disaster site will usually require helicopters, as military medical response teams in developed countries have demonstrated. Some of the resources available and in development for immediate medical response for disasters-from portable CT scanners to telesurgical capabilities-are described. For immediate deployment, these resources-medical equipment and personnel-must be ready for deployment on a moment's notice and not require administrative approvals or bureaucratic authorizations from numerous national and international agencies, as is presently the case. Following the \" trauma center/stroke center\" model, disaster response incorporating \" disaster response centers\" would be seamlessly integrated into the ongoing daily healthcare delivery systems worldwide, from medical education and specialty training (resident/registrar) to acute and subacute intensive care to long-term rehabilitation. The benefits of such a global disaster response network extend far beyond the lives saved: universal standards for medical education and healthcare delivery, as well as the global development of medical equipment and infrastructure, would follow. Capitalizing on the humanitarian nature of disaster response-with its suspension of the cultural, socioeconomic and political barriers that often paralyze international cooperation and development-disaster response can be predictable, loss of life can be preventable and benefits can be both per…","author":[{"dropping-particle":"","family":"Andrews","given":"Russell J.","non-dropping-particle":"","parse-names":false,"suffix":""},{"dropping-particle":"","family":"Quintana","given":"Leonidas M.","non-dropping-particle":"","parse-names":false,"suffix":""}],"container-title":"EPMA Journal","id":"ITEM-1","issue":"1","issued":{"date-parts":[["2015"]]},"page":"1-12","title":"Unpredictable, unpreventable and impersonal medicine: Global disaster response in the 21st century","type":"article-journal","volume":"6"},"uris":["http://www.mendeley.com/documents/?uuid=3ef9c8ee-aa06-4706-add1-bb888ea110e5"]}],"mendeley":{"formattedCitation":"[24]","plainTextFormattedCitation":"[24]","previouslyFormattedCitation":"(Andrews &amp; Quintana, 2015)"},"properties":{"noteIndex":0},"schema":"https://github.com/citation-style-language/schema/raw/master/csl-citation.json"}</w:instrText>
      </w:r>
      <w:r w:rsidRPr="00A85738">
        <w:fldChar w:fldCharType="separate"/>
      </w:r>
      <w:r w:rsidRPr="00A85738">
        <w:rPr>
          <w:noProof/>
        </w:rPr>
        <w:t>[24]</w:t>
      </w:r>
      <w:r w:rsidRPr="00A85738">
        <w:rPr>
          <w:lang w:val="en"/>
        </w:rPr>
        <w:fldChar w:fldCharType="end"/>
      </w:r>
      <w:r w:rsidRPr="00A85738">
        <w:t>.</w:t>
      </w:r>
      <w:r w:rsidRPr="00A85738">
        <w:rPr>
          <w:lang w:val="en"/>
        </w:rPr>
        <w:t xml:space="preserve"> Rearranging hospitals, especially emergency rooms, is needed when disasters occur. Changes in service scenarios from pre-disaster to emergency response are urgently needed. For example, services that were inside the building were not possible to be carried out during a disaster </w:t>
      </w:r>
      <w:r w:rsidRPr="00A85738">
        <w:fldChar w:fldCharType="begin" w:fldLock="1"/>
      </w:r>
      <w:r>
        <w:instrText>ADDIN CSL_CITATION {"citationItems":[{"id":"ITEM-1","itemData":{"DOI":"10.1016/j.jen.2011.06.009","ISSN":"0099-1767","author":[{"dropping-particle":"","family":"Dolan","given":"Brian.","non-dropping-particle":"","parse-names":false,"suffix":""},{"dropping-particle":"","family":"Esson","given":"Anne.","non-dropping-particle":"","parse-names":false,"suffix":""},{"dropping-particle":"","family":"Grainger","given":"Paula.","non-dropping-particle":"","parse-names":false,"suffix":""},{"dropping-particle":"","family":"He","given":"Dip.","non-dropping-particle":"","parse-names":false,"suffix":""},{"dropping-particle":"","family":"Richardson","given":"Sanda.","non-dropping-particle":"","parse-names":false,"suffix":""},{"dropping-particle":"","family":"Ardagh","given":"Mike.","non-dropping-particle":"","parse-names":false,"suffix":""}],"container-title":"Journal Of Emergency Nursing","id":"ITEM-1","issue":"5","issued":{"date-parts":[["2011"]]},"page":"506-509","publisher":"Emergency Nurses Association","title":"Earthquake Disaster Response in Christchurch, New Zealand","type":"article-journal","volume":"37"},"uris":["http://www.mendeley.com/documents/?uuid=4e3edf7c-d1e4-4f58-b3bb-b0e00a787594"]}],"mendeley":{"formattedCitation":"[25]","plainTextFormattedCitation":"[25]","previouslyFormattedCitation":"(Dolan et al., 2011)"},"properties":{"noteIndex":0},"schema":"https://github.com/citation-style-language/schema/raw/master/csl-citation.json"}</w:instrText>
      </w:r>
      <w:r w:rsidRPr="00A85738">
        <w:fldChar w:fldCharType="separate"/>
      </w:r>
      <w:r w:rsidRPr="00A85738">
        <w:rPr>
          <w:iCs/>
          <w:noProof/>
        </w:rPr>
        <w:t>[25]</w:t>
      </w:r>
      <w:r w:rsidRPr="00A85738">
        <w:rPr>
          <w:lang w:val="en"/>
        </w:rPr>
        <w:fldChar w:fldCharType="end"/>
      </w:r>
      <w:r w:rsidRPr="00A85738">
        <w:t xml:space="preserve">. </w:t>
      </w:r>
      <w:r w:rsidRPr="00A85738">
        <w:rPr>
          <w:lang w:val="en"/>
        </w:rPr>
        <w:t xml:space="preserve">Working in a crisis will cause a lot of stress on nurses because they have to deal with a large number of patients. Nurses must also be required to use resources effectively and efficiently </w:t>
      </w:r>
      <w:r w:rsidRPr="00A85738">
        <w:fldChar w:fldCharType="begin" w:fldLock="1"/>
      </w:r>
      <w:r>
        <w:instrText>ADDIN CSL_CITATION {"citationItems":[{"id":"ITEM-1","itemData":{"DOI":"10.1016/j.aenj.2017.10.003","ISSN":"2588994X","abstract":"Background: The emergency department (ED) is a familiar place for the emergency nurse who spends their working days inside it. A disaster threatens that familiarity and creates changes that make working in the ED during a disaster response different from the everyday experience of working in the ED. Methods: This research reports on an aspect of the findings from a larger study about the experience of working as a nurse in the ED during a disaster response. Thirteen nurses from 8 different countries were interviewed about their experience. Results: The findings from this research demonstrate that a disaster event leads to a chain reaction of changes in process, space and practice. Nurses’ respond to the news of a disaster event with shock and disbelief. The ED may change as a result of the event requiring nurses to work in an altered environment or a completely different setting. These changes provoke nurses to alter their behaviour and practice and reflect on the experience after the response. Conclusions: Emergency nurses have a high likelihood of participating in disaster response and as such should be adequately prepared. This highlights how disaster response is different and leads to recommendations to enhance training for emergency nurses which will better prepare them Disasterresponse is not normal business ramped up. There are a number of challenges and changes that should be considered when preparing emergency nurses for the realities of disaster response.","author":[{"dropping-particle":"","family":"Hammad","given":"Karen S.","non-dropping-particle":"","parse-names":false,"suffix":""},{"dropping-particle":"","family":"Arbon","given":"Paul","non-dropping-particle":"","parse-names":false,"suffix":""},{"dropping-particle":"","family":"Gebbie","given":"Kristine","non-dropping-particle":"","parse-names":false,"suffix":""},{"dropping-particle":"","family":"Hutton","given":"Alison","non-dropping-particle":"","parse-names":false,"suffix":""}],"container-title":"Australasian Emergency Care","id":"ITEM-1","issue":"1","issued":{"date-parts":[["2018"]]},"page":"36-41","publisher":"College of Emergency Nursing Australasia","title":"Why a disaster is not just normal business ramped up: Disaster response among ED nurses","type":"article-journal","volume":"21"},"uris":["http://www.mendeley.com/documents/?uuid=084328e3-ca77-4793-9c43-323e81dd7ba5"]}],"mendeley":{"formattedCitation":"[26]","plainTextFormattedCitation":"[26]","previouslyFormattedCitation":"(Hammad et al., 2018)"},"properties":{"noteIndex":0},"schema":"https://github.com/citation-style-language/schema/raw/master/csl-citation.json"}</w:instrText>
      </w:r>
      <w:r w:rsidRPr="00A85738">
        <w:fldChar w:fldCharType="separate"/>
      </w:r>
      <w:r w:rsidRPr="00A85738">
        <w:rPr>
          <w:noProof/>
        </w:rPr>
        <w:t>[26]</w:t>
      </w:r>
      <w:r w:rsidRPr="00A85738">
        <w:rPr>
          <w:lang w:val="en"/>
        </w:rPr>
        <w:fldChar w:fldCharType="end"/>
      </w:r>
      <w:r w:rsidRPr="00A85738">
        <w:t xml:space="preserve">. </w:t>
      </w:r>
      <w:r w:rsidRPr="00A85738">
        <w:rPr>
          <w:lang w:val="en"/>
        </w:rPr>
        <w:t xml:space="preserve">This certainly </w:t>
      </w:r>
      <w:r w:rsidRPr="00A85738">
        <w:t>encourages</w:t>
      </w:r>
      <w:r w:rsidRPr="00A85738" w:rsidDel="008705B4">
        <w:rPr>
          <w:lang w:val="en"/>
        </w:rPr>
        <w:t xml:space="preserve"> </w:t>
      </w:r>
      <w:r w:rsidRPr="00A85738">
        <w:rPr>
          <w:lang w:val="en"/>
        </w:rPr>
        <w:t xml:space="preserve">the hospital management or the government prepare and make a good mitigation strategy so that when a disaster occurs, logistical readiness and hospital infrastructure are ready to be used in serving disaster victims </w:t>
      </w:r>
      <w:r w:rsidRPr="00A85738">
        <w:fldChar w:fldCharType="begin" w:fldLock="1"/>
      </w:r>
      <w:r>
        <w:instrText>ADDIN CSL_CITATION {"citationItems":[{"id":"ITEM-1","itemData":{"ISBN":"9789275131428","author":[{"dropping-particle":"","family":"WHO","given":"","non-dropping-particle":"","parse-names":false,"suffix":""}],"container-title":"Media","id":"ITEM-1","issued":{"date-parts":[["2010"]]},"title":"Health sector self-assessment tool for disaster risk reduction","type":"book"},"uris":["http://www.mendeley.com/documents/?uuid=7ac761b0-13e2-4783-a296-ba73ad893ff6"]}],"mendeley":{"formattedCitation":"[19]","plainTextFormattedCitation":"[19]","previouslyFormattedCitation":"(WHO, 2010)"},"properties":{"noteIndex":0},"schema":"https://github.com/citation-style-language/schema/raw/master/csl-citation.json"}</w:instrText>
      </w:r>
      <w:r w:rsidRPr="00A85738">
        <w:fldChar w:fldCharType="separate"/>
      </w:r>
      <w:r w:rsidRPr="00A85738">
        <w:rPr>
          <w:noProof/>
        </w:rPr>
        <w:t>[19]</w:t>
      </w:r>
      <w:r w:rsidRPr="00A85738">
        <w:rPr>
          <w:lang w:val="en"/>
        </w:rPr>
        <w:fldChar w:fldCharType="end"/>
      </w:r>
      <w:r w:rsidRPr="00A85738">
        <w:t xml:space="preserve">. </w:t>
      </w:r>
      <w:r w:rsidRPr="00A85738">
        <w:rPr>
          <w:lang w:val="en"/>
        </w:rPr>
        <w:t xml:space="preserve">Maximizing regional resources by building networks or coalitions to facilitate the formation of agreements with stakeholders to maintain hospital resilience in the event of a disaster is one of the efforts to increase hospital reserve capacity </w:t>
      </w:r>
      <w:r w:rsidRPr="00A85738">
        <w:fldChar w:fldCharType="begin" w:fldLock="1"/>
      </w:r>
      <w:r>
        <w:instrText>ADDIN CSL_CITATION {"citationItems":[{"id":"ITEM-1","itemData":{"DOI":"10.1017/S1049023X18000900","ISSN":"19451938","abstract":"Introduction A Chemical, Biological, Radiological, Nuclear, and explosive (CBRNe) event is an emergency which can result in injury, illness, or loss of life. The emergency department (ED) as a health system is at the forefront of the CBRNe response with staff acting as first receivers. Emergency departments are under-prepared to respond to CBRNe events - recognizing key factors which underlie the ED CBRNe response is crucial to provide evidence-based knowledge to inform policies and, most importantly, clinical practice.Problem Challenges in detection, decontamination, and diagnosis are associated with the ED CBRNe response when faced with self-presenting patients.Methods A systematic review was carried out in accordance with Preferred Reporting Items for Systematic Reviews and Meta-Analyses (PRISMA). An in-depth search strategy was devised to identify studies which focused on the ED and CBRNe events. The inclusion criteria were stringent in terms of the environment (ED), participants (first receivers), situation (CBRNe response), and actions (detection, decontamination, and diagnosis). Fifteen databases and topic-specific journals were searched. Studies were critically appraised using the Mixed Methods Appraisal Tool (MMAT). Papers were thematically coded and synthesized using NVivo 10 (QSR International Ltd, Melbourne, Australia).Results Sixty-seven full-text papers were critically appraised using the MMAT; 70% were included (n = 60) as medium- or high-quality studies. Data were grouped into four themes: preparedness, response, decontamination, and personal protective equipment (PPE) problems.Discussion This study has recognized the ED as a system which depends on four key factors - preparedness, response, decontamination, and PPE problems - which highlight challenges, uncertainties, inconsistencies, and obstacles associated with the ED CBRNe response. This review suggests that response planning and preparation should be considered at three levels: organizational (policies and procedures); technological (decontamination, communication, security, clinical care, and treatment); and individual (willingness to respond, PPE, knowledge, and competence). Finally, this study highlighted that there was a void specific to detection and diagnosis of CBRNe exposure on self-presenting patients in the ED.Conclusion: The review identified concerns for both knowledge and behaviors which suggests that a systems approach would help understand the ED response to CBRNe ev…","author":[{"dropping-particle":"","family":"Razak","given":"Saydia","non-dropping-particle":"","parse-names":false,"suffix":""},{"dropping-particle":"","family":"Hignett","given":"Sue","non-dropping-particle":"","parse-names":false,"suffix":""},{"dropping-particle":"","family":"Barnes","given":"Jo","non-dropping-particle":"","parse-names":false,"suffix":""}],"container-title":"Prehospital and Disaster Medicine","id":"ITEM-1","issue":"5","issued":{"date-parts":[["2018"]]},"title":"Emergency Department Response to Chemical, Biological, Radiological, Nuclear, and Explosive Events: A Systematic Review","type":"article","volume":"33"},"uris":["http://www.mendeley.com/documents/?uuid=1da7aa12-38ea-38e5-922f-576be7824cfc"]}],"mendeley":{"formattedCitation":"[27]","plainTextFormattedCitation":"[27]","previouslyFormattedCitation":"(Razak et al., 2018)"},"properties":{"noteIndex":0},"schema":"https://github.com/citation-style-language/schema/raw/master/csl-citation.json"}</w:instrText>
      </w:r>
      <w:r w:rsidRPr="00A85738">
        <w:fldChar w:fldCharType="separate"/>
      </w:r>
      <w:r w:rsidRPr="00A85738">
        <w:rPr>
          <w:noProof/>
        </w:rPr>
        <w:t>[27]</w:t>
      </w:r>
      <w:r w:rsidRPr="00A85738">
        <w:rPr>
          <w:lang w:val="en"/>
        </w:rPr>
        <w:fldChar w:fldCharType="end"/>
      </w:r>
      <w:r w:rsidRPr="00A85738">
        <w:t>.</w:t>
      </w:r>
    </w:p>
    <w:p w14:paraId="3C836678" w14:textId="7B8851D2" w:rsidR="00A85738" w:rsidRPr="00A85738" w:rsidRDefault="00A85738" w:rsidP="00A85738">
      <w:pPr>
        <w:ind w:firstLine="720"/>
        <w:jc w:val="both"/>
      </w:pPr>
      <w:r w:rsidRPr="00A85738">
        <w:rPr>
          <w:lang w:val="en"/>
        </w:rPr>
        <w:t xml:space="preserve">A recent study revealed that there are still many hospitals unable to meet </w:t>
      </w:r>
      <w:r w:rsidRPr="00A85738">
        <w:t>the required capacity</w:t>
      </w:r>
      <w:r w:rsidRPr="00A85738" w:rsidDel="008705B4">
        <w:rPr>
          <w:lang w:val="en"/>
        </w:rPr>
        <w:t xml:space="preserve"> </w:t>
      </w:r>
      <w:r w:rsidRPr="00A85738">
        <w:rPr>
          <w:lang w:val="en"/>
        </w:rPr>
        <w:t xml:space="preserve">when a disaster occurs. This is because the amount of funds allocated for purchasing equipment is. There is a lack of coordination between hospital response mechanisms </w:t>
      </w:r>
      <w:r w:rsidRPr="00A85738">
        <w:fldChar w:fldCharType="begin" w:fldLock="1"/>
      </w:r>
      <w:r>
        <w:instrText>ADDIN CSL_CITATION {"citationItems":[{"id":"ITEM-1","itemData":{"DOI":"10.1016/j.auec.2018.07.002","ISSN":"2588994X","abstract":"Background: Nurses, as well as other health personnel and health systems, worldwide need to be adequately prepared for disasters because it is often difficult to predict where and when disasters strike. The 2011 Thailand flood disaster caused significant damage, including to hospitals. The purpose of this study was to investigate the experiences of hospital personnel regarding flood disaster preparedness in the central region of Thailand. Methods: This qualitative study was conducted using content analysis. Purposive sampling was used to select the participants. Semi-structured interviews were conducted with 15 participants who were doctors, nurses, and persons involved in flood disaster preparedness. Content analysis was used for data analysis. Findings: Two themes and ten subthemes were extracted with regard to flood disaster preparedness. The two themes were maintaining the function of care provision and struggle with preparedness. Personnel realized that preparation levels of their hospital were inadequate and identified the challenges in providing care during and after floods. Conclusions: The finding identified several areas to improve the current state of preparedness of all hospitals that experienced service disruption due to flood disasters. This can help healthcare personnel, hospitals, and healthcare system to enhance flood disaster preparedness so that they can be better prepared.","author":[{"dropping-particle":"","family":"Rattanakanlaya","given":"Kanittha","non-dropping-particle":"","parse-names":false,"suffix":""},{"dropping-particle":"","family":"Sukonthasarn","given":"Achara","non-dropping-particle":"","parse-names":false,"suffix":""},{"dropping-particle":"","family":"Wangsrikhun","given":"Suparat","non-dropping-particle":"","parse-names":false,"suffix":""},{"dropping-particle":"","family":"Chanprasit","given":"Chawapornpan","non-dropping-particle":"","parse-names":false,"suffix":""}],"container-title":"Australasian Emergency Care","id":"ITEM-1","issue":"3","issued":{"date-parts":[["2018"]]},"page":"87-92","publisher":"College of Emergency Nursing Australasia","title":"Flood disaster preparedness experiences of hospital personnel in Thailand: A qualitative study","type":"article-journal","volume":"21"},"uris":["http://www.mendeley.com/documents/?uuid=fd4823d8-ef22-4c59-86b8-1880c2902010"]},{"id":"ITEM-2","itemData":{"DOI":"10.4236/health.2014.619306","ISSN":"1949-4998","abstract":"Introduction: Disaster damage to health systems is a human and health tragedy, results in huge economic losses, deals devastating blows to development goals, and shakes social confidence. Hospital disaster preparedness presents complex clinical operation. It is difficult philosophical challenge. It is difficult to determine how much time, money, and effort should be spent in preparing for an event that may not occur. Health facilities whether hospitals or rural health clinics, should be a source of strength during emergencies and disasters. They should be ready to save lives and to continue providing essential emergencies and disasters. Jeddah has relatively a level of disaster risk which is attributable to its geographical location, climate variability, topography, etc. This study investigates the hospital disaster preparedness (HDP) in Jeddah. Methods: Questionnaire was designed according to five Likert scales. It was divided into eight fields of 33 indicators: structure, architectural and furnishings, lifeline facilities’ safety, hospital location, utilities maintenance, surge capacity, emergency and disaster plan, and control of communication and coordination. Sample of six hospitals participated in the study and rated to the extent of disaster preparedness for each hospital disaster preparedness indicators. Two hazard tools were used to find out the hazards for each hospital. An assessment tool was designed to monitor progress and effectiveness of the hospitals’ improvement. Weakness was found in HDP level in the surveyed hospitals. Disaster mitigation needs more action including: risk assessment, structural and non-structural prevention, and preparedness for contingency planning and warning and evacuation. Conclusion: The finding shows that hospitals included in this study have tools and indicators in hospital preparedness but with lack of training and management during disaster. So the research shed light on hospital disaster preparedness. Considering the importance of preparedness in disaster, it is necessary for hospitals to understand that most of hospital disaster preparedness is built in the hospital system.","author":[{"dropping-particle":"","family":"Bajow","given":"Nidaa A.","non-dropping-particle":"","parse-names":false,"suffix":""},{"dropping-particle":"","family":"Alkhalil","given":"Shahnaz M.","non-dropping-particle":"","parse-names":false,"suffix":""}],"container-title":"Health","id":"ITEM-2","issue":"19","issued":{"date-parts":[["2014"]]},"page":"2668-2687","title":"Evaluation and Analysis of Hospital Disaster Preparedness in Jeddah","type":"article-journal","volume":"06"},"uris":["http://www.mendeley.com/documents/?uuid=1d1e5554-4572-42f5-b2ed-b867b1b3daae"]}],"mendeley":{"formattedCitation":"[28], [29]","plainTextFormattedCitation":"[28], [29]","previouslyFormattedCitation":"(Bajow &amp; Alkhalil, 2014; Rattanakanlaya et al., 2018)"},"properties":{"noteIndex":0},"schema":"https://github.com/citation-style-language/schema/raw/master/csl-citation.json"}</w:instrText>
      </w:r>
      <w:r w:rsidRPr="00A85738">
        <w:fldChar w:fldCharType="separate"/>
      </w:r>
      <w:r w:rsidRPr="00A85738">
        <w:rPr>
          <w:noProof/>
        </w:rPr>
        <w:t>[28], [29]</w:t>
      </w:r>
      <w:r w:rsidRPr="00A85738">
        <w:rPr>
          <w:lang w:val="en"/>
        </w:rPr>
        <w:fldChar w:fldCharType="end"/>
      </w:r>
      <w:r w:rsidRPr="00A85738">
        <w:t xml:space="preserve">. </w:t>
      </w:r>
      <w:r w:rsidRPr="00A85738">
        <w:rPr>
          <w:lang w:val="en"/>
        </w:rPr>
        <w:t xml:space="preserve">For this reason, pre-disaster planning and management of equipment for coordinating resources are essential for the success of a patient care disaster response so that it can improve the preparedness of medical staff, especially nurses working in emergency rooms as the frontline of health services in hospitals </w:t>
      </w:r>
      <w:r w:rsidRPr="00A85738">
        <w:fldChar w:fldCharType="begin" w:fldLock="1"/>
      </w:r>
      <w:r>
        <w:instrText>ADDIN CSL_CITATION {"citationItems":[{"id":"ITEM-1","itemData":{"DOI":"10.1111/j.1525-1446.2011.00984.x","ISSN":"07371209","abstract":"OBJECTIVE: To examine the effect of a blended educational intervention (in-class and independent learning modules) developed to enhance Ohio PHN confidence in 25 disaster surge competencies that address the PHN role and skills in Preparedness, Response, and Recovery.\\n\\nDESIGN AND SAMPLE: This was a quasi-experimental one group pre and post design. Participants (N = 54) completed pre- and postintervention surveys to evaluate intervention impact on self-perceived confidence and need for further training in the 25 competencies.\\n\\nMEASURES: Parallel pre and post surveys assessed participant evaluation of confidence and need for further competency training. Paired t tests and repeated measures ANOVA compared pre- and postsurvey results.\\n\\nRESULTS: Confidence in Preparedness, Response, and Recovery PHN disaster surge competencies significantly increased, whereas self-perceived need for further competency training correspondingly significantly decreased.\\n\\nCONCLUSIONS: A blended learning approach to disaster surge training effectively improved PHNs confidence in competency achievement and reduced perceived need for further training.","author":[{"dropping-particle":"","family":"Chiu","given":"Michelle","non-dropping-particle":"","parse-names":false,"suffix":""},{"dropping-particle":"","family":"Polivka","given":"Barbara J.","non-dropping-particle":"","parse-names":false,"suffix":""},{"dropping-particle":"","family":"Stanley","given":"Sharon A R","non-dropping-particle":"","parse-names":false,"suffix":""}],"container-title":"Public Health Nursing","id":"ITEM-1","issue":"2","issued":{"date-parts":[["2012"]]},"page":"136-142","title":"Evaluation of a Disaster-Surge Training for Public Health Nurses","type":"article-journal","volume":"29"},"uris":["http://www.mendeley.com/documents/?uuid=35b6e40c-c5c0-4553-a2d4-26bb529cbbb2"]}],"mendeley":{"formattedCitation":"[30]","plainTextFormattedCitation":"[30]","previouslyFormattedCitation":"(Chiu et al., 2012)"},"properties":{"noteIndex":0},"schema":"https://github.com/citation-style-language/schema/raw/master/csl-citation.json"}</w:instrText>
      </w:r>
      <w:r w:rsidRPr="00A85738">
        <w:fldChar w:fldCharType="separate"/>
      </w:r>
      <w:r w:rsidRPr="00A85738">
        <w:rPr>
          <w:noProof/>
        </w:rPr>
        <w:t>[30]</w:t>
      </w:r>
      <w:r w:rsidRPr="00A85738">
        <w:rPr>
          <w:lang w:val="en"/>
        </w:rPr>
        <w:fldChar w:fldCharType="end"/>
      </w:r>
      <w:r w:rsidRPr="00A85738">
        <w:rPr>
          <w:lang w:val="en"/>
        </w:rPr>
        <w:t xml:space="preserve">. As health service centers and referral centers when a disaster crisis happens, hospitals are required to participate in the development of an emergency operation plan that includes communication, safety and security, resources and assets, response procedures, and the ability to increase staff responsibility to always be ready to provide services to affected communities </w:t>
      </w:r>
      <w:r w:rsidRPr="00A85738">
        <w:fldChar w:fldCharType="begin" w:fldLock="1"/>
      </w:r>
      <w:r>
        <w:instrText>ADDIN CSL_CITATION {"citationItems":[{"id":"ITEM-1","itemData":{"DOI":"https://doi.org/10.1016/B978-0-323-28665-7.00020-0","ISBN":"978-0-323-28665-7","author":[{"dropping-particle":"","family":"Snyder","given":"Angela M","non-dropping-particle":"","parse-names":false,"suffix":""},{"dropping-particle":"","family":"Gebhart","given":"Mark E","non-dropping-particle":"","parse-names":false,"suffix":""}],"editor":[{"dropping-particle":"","family":"Ciottone","given":"Gregory R B T - Ciottone's Disaster Medicine (Second Edition)","non-dropping-particle":"","parse-names":false,"suffix":""}],"id":"ITEM-1","issued":{"date-parts":[["2016"]]},"page":"120-124","publisher":"Elsevier","publisher-place":"Philadelphia","title":"Chapter 20 - Disaster and Emergency Management Programs","type":"chapter"},"uris":["http://www.mendeley.com/documents/?uuid=e02a75b7-1141-4756-b41d-226f4dbd8eda"]}],"mendeley":{"formattedCitation":"[31]","plainTextFormattedCitation":"[31]","previouslyFormattedCitation":"(Snyder &amp; Gebhart, 2016)"},"properties":{"noteIndex":0},"schema":"https://github.com/citation-style-language/schema/raw/master/csl-citation.json"}</w:instrText>
      </w:r>
      <w:r w:rsidRPr="00A85738">
        <w:fldChar w:fldCharType="separate"/>
      </w:r>
      <w:r w:rsidRPr="00A85738">
        <w:rPr>
          <w:noProof/>
        </w:rPr>
        <w:t>[31]</w:t>
      </w:r>
      <w:r w:rsidRPr="00A85738">
        <w:rPr>
          <w:lang w:val="en"/>
        </w:rPr>
        <w:fldChar w:fldCharType="end"/>
      </w:r>
      <w:r w:rsidRPr="00A85738">
        <w:t>.</w:t>
      </w:r>
    </w:p>
    <w:p w14:paraId="485D6D25" w14:textId="77777777" w:rsidR="00541AAE" w:rsidRPr="003D5B84" w:rsidRDefault="00541AAE" w:rsidP="00541AAE">
      <w:pPr>
        <w:jc w:val="both"/>
        <w:rPr>
          <w:b/>
          <w:bCs/>
          <w:lang w:val="id-ID"/>
        </w:rPr>
      </w:pPr>
    </w:p>
    <w:p w14:paraId="6C5720CE" w14:textId="592BF458" w:rsidR="00904D6D" w:rsidRPr="00040334" w:rsidRDefault="00F33C08" w:rsidP="00541AAE">
      <w:pPr>
        <w:numPr>
          <w:ilvl w:val="0"/>
          <w:numId w:val="19"/>
        </w:numPr>
        <w:tabs>
          <w:tab w:val="left" w:pos="426"/>
        </w:tabs>
        <w:ind w:left="426" w:hanging="426"/>
        <w:rPr>
          <w:b/>
          <w:bCs/>
          <w:lang w:val="id-ID"/>
        </w:rPr>
      </w:pPr>
      <w:r w:rsidRPr="003D5B84">
        <w:rPr>
          <w:b/>
          <w:bCs/>
          <w:lang w:val="id-ID"/>
        </w:rPr>
        <w:lastRenderedPageBreak/>
        <w:t>CONCLUSION</w:t>
      </w:r>
      <w:r>
        <w:rPr>
          <w:b/>
          <w:bCs/>
        </w:rPr>
        <w:t xml:space="preserve"> </w:t>
      </w:r>
    </w:p>
    <w:p w14:paraId="0649B60E" w14:textId="77777777" w:rsidR="00040334" w:rsidRPr="003D5B84" w:rsidRDefault="00040334" w:rsidP="00040334">
      <w:pPr>
        <w:tabs>
          <w:tab w:val="left" w:pos="426"/>
        </w:tabs>
        <w:ind w:left="426"/>
        <w:rPr>
          <w:b/>
          <w:bCs/>
          <w:lang w:val="id-ID"/>
        </w:rPr>
      </w:pPr>
    </w:p>
    <w:p w14:paraId="150E9662" w14:textId="77777777" w:rsidR="00A85738" w:rsidRPr="00A85738" w:rsidRDefault="00A85738" w:rsidP="00A85738">
      <w:pPr>
        <w:ind w:firstLine="720"/>
        <w:jc w:val="both"/>
        <w:rPr>
          <w:lang w:val="en"/>
        </w:rPr>
      </w:pPr>
      <w:bookmarkStart w:id="1" w:name="_Hlk42677765"/>
      <w:r w:rsidRPr="00A85738">
        <w:rPr>
          <w:lang w:val="en"/>
        </w:rPr>
        <w:t>Increasing the hospital's additional capacity is very important so that the staff always get full support in handling victims when a crisis occurs. Hospital capacity planning programs in preparing for future crisis conditions should be supported by hospital owners and directors. This will certainly motivate all staff, especially nurses who work at the forefront of hospital services, such as in the emergency department. In this study, the researcher recommends that the guidelines should be strengthened to regulate hospital planning and improve the support for facilities and infrastructure to deal with future disaster crisis conditions.</w:t>
      </w:r>
    </w:p>
    <w:bookmarkEnd w:id="1"/>
    <w:p w14:paraId="01290451" w14:textId="77777777" w:rsidR="0088233C" w:rsidRDefault="0088233C" w:rsidP="00904D6D">
      <w:pPr>
        <w:rPr>
          <w:b/>
          <w:bCs/>
        </w:rPr>
      </w:pPr>
    </w:p>
    <w:p w14:paraId="4E04E9E7" w14:textId="54D9ED1C" w:rsidR="00EE7C89" w:rsidRDefault="00F33C08" w:rsidP="00904D6D">
      <w:pPr>
        <w:rPr>
          <w:rStyle w:val="apple-style-span"/>
          <w:b/>
          <w:color w:val="000000"/>
          <w:lang w:val="pt-BR"/>
        </w:rPr>
      </w:pPr>
      <w:r w:rsidRPr="00EE7C89">
        <w:rPr>
          <w:rStyle w:val="apple-style-span"/>
          <w:b/>
          <w:color w:val="000000"/>
          <w:lang w:val="pt-BR"/>
        </w:rPr>
        <w:t>ACKNOWLEDGMENTS</w:t>
      </w:r>
      <w:r>
        <w:rPr>
          <w:rStyle w:val="apple-style-span"/>
          <w:b/>
          <w:color w:val="000000"/>
          <w:lang w:val="pt-BR"/>
        </w:rPr>
        <w:t xml:space="preserve"> </w:t>
      </w:r>
    </w:p>
    <w:p w14:paraId="476A2396" w14:textId="77777777" w:rsidR="00040334" w:rsidRPr="00EE7C89" w:rsidRDefault="00040334" w:rsidP="00904D6D">
      <w:pPr>
        <w:rPr>
          <w:rStyle w:val="apple-style-span"/>
          <w:b/>
          <w:color w:val="000000"/>
          <w:lang w:val="pt-BR"/>
        </w:rPr>
      </w:pPr>
    </w:p>
    <w:p w14:paraId="7FD25F98" w14:textId="4A893CB8" w:rsidR="00541AAE" w:rsidRPr="00541AAE" w:rsidRDefault="00541AAE" w:rsidP="00541AAE">
      <w:pPr>
        <w:ind w:firstLine="720"/>
        <w:jc w:val="both"/>
        <w:rPr>
          <w:bCs/>
        </w:rPr>
      </w:pPr>
      <w:r w:rsidRPr="00541AAE">
        <w:rPr>
          <w:bCs/>
        </w:rPr>
        <w:t xml:space="preserve">The research reported in this publication was supported by a grant from the   </w:t>
      </w:r>
      <w:r w:rsidRPr="00541AAE">
        <w:rPr>
          <w:bCs/>
          <w:lang w:val="en"/>
        </w:rPr>
        <w:t>Ministry of Health of the Republic of Indonesia</w:t>
      </w:r>
      <w:r w:rsidRPr="00541AAE">
        <w:rPr>
          <w:bCs/>
        </w:rPr>
        <w:t>.</w:t>
      </w:r>
    </w:p>
    <w:p w14:paraId="2D8E2F4E" w14:textId="44AA4553" w:rsidR="00EE7C89" w:rsidRPr="00EE7C89" w:rsidRDefault="00EE7C89" w:rsidP="00EE7C89">
      <w:pPr>
        <w:ind w:firstLine="720"/>
        <w:jc w:val="both"/>
        <w:rPr>
          <w:b/>
          <w:bCs/>
        </w:rPr>
      </w:pPr>
    </w:p>
    <w:p w14:paraId="61772B11" w14:textId="77777777" w:rsidR="007E6842" w:rsidRPr="00EE7C89" w:rsidRDefault="007E6842" w:rsidP="00904D6D">
      <w:pPr>
        <w:rPr>
          <w:b/>
          <w:bCs/>
        </w:rPr>
      </w:pPr>
    </w:p>
    <w:p w14:paraId="33BC1A85" w14:textId="470076B3"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38E80061" w14:textId="3C62067C" w:rsidR="00A85738" w:rsidRPr="00A85738" w:rsidRDefault="00541AAE" w:rsidP="00A85738">
      <w:pPr>
        <w:widowControl w:val="0"/>
        <w:autoSpaceDE w:val="0"/>
        <w:autoSpaceDN w:val="0"/>
        <w:adjustRightInd w:val="0"/>
        <w:ind w:left="640" w:hanging="640"/>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00A85738" w:rsidRPr="00A85738">
        <w:rPr>
          <w:noProof/>
          <w:szCs w:val="24"/>
        </w:rPr>
        <w:t>[1]</w:t>
      </w:r>
      <w:r w:rsidR="00A85738" w:rsidRPr="00A85738">
        <w:rPr>
          <w:noProof/>
          <w:szCs w:val="24"/>
        </w:rPr>
        <w:tab/>
        <w:t>UN-ISDR, “Sendai Framework for Disaster Risk Reduction 2015 - 2030,” Geneva, Switzerland, 2015.</w:t>
      </w:r>
    </w:p>
    <w:p w14:paraId="3763657A"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w:t>
      </w:r>
      <w:r w:rsidRPr="00A85738">
        <w:rPr>
          <w:noProof/>
          <w:szCs w:val="24"/>
        </w:rPr>
        <w:tab/>
        <w:t xml:space="preserve">R. Kayano, E. Y. Y. Chan, V. Murray, J. Abrahams, and S. L. Barber, “WHO thematic platform for health emergency and disaster risk management research network (TPRN): Report of the kobe expert meeting,” </w:t>
      </w:r>
      <w:r w:rsidRPr="00A85738">
        <w:rPr>
          <w:i/>
          <w:iCs/>
          <w:noProof/>
          <w:szCs w:val="24"/>
        </w:rPr>
        <w:t>Int. J. Environ. Res. Public Health</w:t>
      </w:r>
      <w:r w:rsidRPr="00A85738">
        <w:rPr>
          <w:noProof/>
          <w:szCs w:val="24"/>
        </w:rPr>
        <w:t>, vol. 16, no. 7, pp. 1–6, 2019, doi: 10.3390/ijerph16071232.</w:t>
      </w:r>
    </w:p>
    <w:p w14:paraId="7B38C3CC"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[3]</w:t>
      </w:r>
      <w:r w:rsidRPr="00A85738">
        <w:rPr>
          <w:noProof/>
          <w:szCs w:val="24"/>
        </w:rPr>
        <w:tab/>
        <w:t xml:space="preserve">CRED and UNISDR, “2018 Review of Disaster Events,” </w:t>
      </w:r>
      <w:r w:rsidRPr="00A85738">
        <w:rPr>
          <w:i/>
          <w:iCs/>
          <w:noProof/>
          <w:szCs w:val="24"/>
        </w:rPr>
        <w:t>Cred</w:t>
      </w:r>
      <w:r w:rsidRPr="00A85738">
        <w:rPr>
          <w:noProof/>
          <w:szCs w:val="24"/>
        </w:rPr>
        <w:t>, pp. 1–6, 2019.</w:t>
      </w:r>
    </w:p>
    <w:p w14:paraId="4BBC5814"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[4]</w:t>
      </w:r>
      <w:r w:rsidRPr="00A85738">
        <w:rPr>
          <w:noProof/>
          <w:szCs w:val="24"/>
        </w:rPr>
        <w:tab/>
        <w:t xml:space="preserve">D. Guha-Sapir, P. Hoyois, P. Wallemacq, and R. Below, </w:t>
      </w:r>
      <w:r w:rsidRPr="00A85738">
        <w:rPr>
          <w:i/>
          <w:iCs/>
          <w:noProof/>
          <w:szCs w:val="24"/>
        </w:rPr>
        <w:t>Annual Disaster Statistical Review 2016: The numbers and trends</w:t>
      </w:r>
      <w:r w:rsidRPr="00A85738">
        <w:rPr>
          <w:noProof/>
          <w:szCs w:val="24"/>
        </w:rPr>
        <w:t>. Brussels: The Centre for Research on the Epidemiology of Disasters (CRED), 2016.</w:t>
      </w:r>
    </w:p>
    <w:p w14:paraId="138BD18F"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[5]</w:t>
      </w:r>
      <w:r w:rsidRPr="00A85738">
        <w:rPr>
          <w:noProof/>
          <w:szCs w:val="24"/>
        </w:rPr>
        <w:tab/>
        <w:t xml:space="preserve">R. Djalante, M. Garschagen, F. Thomalla, and R. Shaw, </w:t>
      </w:r>
      <w:r w:rsidRPr="00A85738">
        <w:rPr>
          <w:i/>
          <w:iCs/>
          <w:noProof/>
          <w:szCs w:val="24"/>
        </w:rPr>
        <w:t>Disaster Risk Reduction in Indonesia Progress, Challenges, and Issues</w:t>
      </w:r>
      <w:r w:rsidRPr="00A85738">
        <w:rPr>
          <w:noProof/>
          <w:szCs w:val="24"/>
        </w:rPr>
        <w:t>, 1st ed. Gewerbestrasse, Switzerland: Springer Publishing Company, LLC, 2017.</w:t>
      </w:r>
    </w:p>
    <w:p w14:paraId="75F309B4"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[6]</w:t>
      </w:r>
      <w:r w:rsidRPr="00A85738">
        <w:rPr>
          <w:noProof/>
          <w:szCs w:val="24"/>
        </w:rPr>
        <w:tab/>
        <w:t xml:space="preserve">M. Mueck, </w:t>
      </w:r>
      <w:r w:rsidRPr="00A85738">
        <w:rPr>
          <w:i/>
          <w:iCs/>
          <w:noProof/>
          <w:szCs w:val="24"/>
        </w:rPr>
        <w:t>Peta-Peta Bahaya Tsunami untuk Lombok Dokumentasi Teknis</w:t>
      </w:r>
      <w:r w:rsidRPr="00A85738">
        <w:rPr>
          <w:noProof/>
          <w:szCs w:val="24"/>
        </w:rPr>
        <w:t>. Mataram, Indonesia: Protects, 2013.</w:t>
      </w:r>
    </w:p>
    <w:p w14:paraId="07C8256C"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[7]</w:t>
      </w:r>
      <w:r w:rsidRPr="00A85738">
        <w:rPr>
          <w:noProof/>
          <w:szCs w:val="24"/>
        </w:rPr>
        <w:tab/>
        <w:t xml:space="preserve">BNPB, Bappenas, and United Nations Development Programme, </w:t>
      </w:r>
      <w:r w:rsidRPr="00A85738">
        <w:rPr>
          <w:i/>
          <w:iCs/>
          <w:noProof/>
          <w:szCs w:val="24"/>
        </w:rPr>
        <w:t>Materi Teknis Revisi Pedoman Penyusunan Rencana Tata Ruang Berdasarkan Perspektif Pengurangan Risiko Bencana</w:t>
      </w:r>
      <w:r w:rsidRPr="00A85738">
        <w:rPr>
          <w:noProof/>
          <w:szCs w:val="24"/>
        </w:rPr>
        <w:t>. Jakarta: Direktorat Tata Ruang dan Pertanahan Kementerian Perencanaan Pembangunan Nasional, 2014.</w:t>
      </w:r>
    </w:p>
    <w:p w14:paraId="24504A6C"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[8]</w:t>
      </w:r>
      <w:r w:rsidRPr="00A85738">
        <w:rPr>
          <w:noProof/>
          <w:szCs w:val="24"/>
        </w:rPr>
        <w:tab/>
        <w:t xml:space="preserve">L. A. T. A. Buana, S. B. Samodra, and I. Arifianto, “Mikrozonasi Bahaya Gempabumi Menggunakan Analisis Mikrotremor Metode HVSR di Kawasan Wisata Sembalun, Kabupaten Lombok Timur, Provinsi Nusa Tenggara Barat,” in </w:t>
      </w:r>
      <w:r w:rsidRPr="00A85738">
        <w:rPr>
          <w:i/>
          <w:iCs/>
          <w:noProof/>
          <w:szCs w:val="24"/>
        </w:rPr>
        <w:t>Prosiding Seminar Nasional Kebumian Ke-12 Teknik Geologi, Fakultas Teknik, Universitas Gadjah Mada</w:t>
      </w:r>
      <w:r w:rsidRPr="00A85738">
        <w:rPr>
          <w:noProof/>
          <w:szCs w:val="24"/>
        </w:rPr>
        <w:t>, 2019.</w:t>
      </w:r>
    </w:p>
    <w:p w14:paraId="3743CED4"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[9]</w:t>
      </w:r>
      <w:r w:rsidRPr="00A85738">
        <w:rPr>
          <w:noProof/>
          <w:szCs w:val="24"/>
        </w:rPr>
        <w:tab/>
        <w:t xml:space="preserve">Widayatun and Z. Fatoni, “Peran Petugas Kesehatan dan Partisipasi Masyarakat,” </w:t>
      </w:r>
      <w:r w:rsidRPr="00A85738">
        <w:rPr>
          <w:i/>
          <w:iCs/>
          <w:noProof/>
          <w:szCs w:val="24"/>
        </w:rPr>
        <w:t>J. Kependud. Indones.</w:t>
      </w:r>
      <w:r w:rsidRPr="00A85738">
        <w:rPr>
          <w:noProof/>
          <w:szCs w:val="24"/>
        </w:rPr>
        <w:t>, vol. 8, no. 1, 2013.</w:t>
      </w:r>
    </w:p>
    <w:p w14:paraId="3F625A55"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[10]</w:t>
      </w:r>
      <w:r w:rsidRPr="00A85738">
        <w:rPr>
          <w:noProof/>
          <w:szCs w:val="24"/>
        </w:rPr>
        <w:tab/>
        <w:t xml:space="preserve">T. G. Veenerma, </w:t>
      </w:r>
      <w:r w:rsidRPr="00A85738">
        <w:rPr>
          <w:i/>
          <w:iCs/>
          <w:noProof/>
          <w:szCs w:val="24"/>
        </w:rPr>
        <w:t>Disaster Nursing And Emergency Preparedness For Chemical , Biological , And Radiological Terrorism And Other Hazards</w:t>
      </w:r>
      <w:r w:rsidRPr="00A85738">
        <w:rPr>
          <w:noProof/>
          <w:szCs w:val="24"/>
        </w:rPr>
        <w:t>, 3rd ed., no. November. New York: Springer Publishing Company, LLC, 2015.</w:t>
      </w:r>
    </w:p>
    <w:p w14:paraId="3B303503"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[11]</w:t>
      </w:r>
      <w:r w:rsidRPr="00A85738">
        <w:rPr>
          <w:noProof/>
          <w:szCs w:val="24"/>
        </w:rPr>
        <w:tab/>
        <w:t xml:space="preserve">K. Usher </w:t>
      </w:r>
      <w:r w:rsidRPr="00A85738">
        <w:rPr>
          <w:i/>
          <w:iCs/>
          <w:noProof/>
          <w:szCs w:val="24"/>
        </w:rPr>
        <w:t>et al.</w:t>
      </w:r>
      <w:r w:rsidRPr="00A85738">
        <w:rPr>
          <w:noProof/>
          <w:szCs w:val="24"/>
        </w:rPr>
        <w:t xml:space="preserve">, “Cross-sectional survey of the disaster preparedness of nurses across the Asia-Pacific region,” </w:t>
      </w:r>
      <w:r w:rsidRPr="00A85738">
        <w:rPr>
          <w:i/>
          <w:iCs/>
          <w:noProof/>
          <w:szCs w:val="24"/>
        </w:rPr>
        <w:t>Nurs. Heal. Sci.</w:t>
      </w:r>
      <w:r w:rsidRPr="00A85738">
        <w:rPr>
          <w:noProof/>
          <w:szCs w:val="24"/>
        </w:rPr>
        <w:t>, vol. 17, no. 4, pp. 434–443, 2015, doi: 10.1111/nhs.12211.</w:t>
      </w:r>
    </w:p>
    <w:p w14:paraId="436E8E87"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[12]</w:t>
      </w:r>
      <w:r w:rsidRPr="00A85738">
        <w:rPr>
          <w:noProof/>
          <w:szCs w:val="24"/>
        </w:rPr>
        <w:tab/>
        <w:t xml:space="preserve">S. D. Öztekin, E. E. Larson, M. Akahoshi, and İ. Öztekin, “Japanese nurses’ perception of their preparedness for disasters: Quantitative survey research on one prefecture in Japan,” </w:t>
      </w:r>
      <w:r w:rsidRPr="00A85738">
        <w:rPr>
          <w:i/>
          <w:iCs/>
          <w:noProof/>
          <w:szCs w:val="24"/>
        </w:rPr>
        <w:t>Japan J. Nurs. Sci.</w:t>
      </w:r>
      <w:r w:rsidRPr="00A85738">
        <w:rPr>
          <w:noProof/>
          <w:szCs w:val="24"/>
        </w:rPr>
        <w:t>, vol. 13, no. 3, 2016, doi: 10.1111/jjns.12121.</w:t>
      </w:r>
    </w:p>
    <w:p w14:paraId="035EB41A"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[13]</w:t>
      </w:r>
      <w:r w:rsidRPr="00A85738">
        <w:rPr>
          <w:noProof/>
          <w:szCs w:val="24"/>
        </w:rPr>
        <w:tab/>
        <w:t xml:space="preserve">N. M. Samsuddin, R. Takim, A. H. Nawawi, and S. N. A. Syed Alwee, “Disaster Preparedness Attributes and Hospital’s Resilience in Malaysia,” </w:t>
      </w:r>
      <w:r w:rsidRPr="00A85738">
        <w:rPr>
          <w:i/>
          <w:iCs/>
          <w:noProof/>
          <w:szCs w:val="24"/>
        </w:rPr>
        <w:t>Procedia Eng.</w:t>
      </w:r>
      <w:r w:rsidRPr="00A85738">
        <w:rPr>
          <w:noProof/>
          <w:szCs w:val="24"/>
        </w:rPr>
        <w:t>, vol. 212, no. 2017, pp. 371–378, 2018, doi: 10.1016/j.proeng.2018.01.048.</w:t>
      </w:r>
    </w:p>
    <w:p w14:paraId="633001DD"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[14]</w:t>
      </w:r>
      <w:r w:rsidRPr="00A85738">
        <w:rPr>
          <w:noProof/>
          <w:szCs w:val="24"/>
        </w:rPr>
        <w:tab/>
        <w:t xml:space="preserve">L. A. Wallis </w:t>
      </w:r>
      <w:r w:rsidRPr="00A85738">
        <w:rPr>
          <w:i/>
          <w:iCs/>
          <w:noProof/>
          <w:szCs w:val="24"/>
        </w:rPr>
        <w:t>et al.</w:t>
      </w:r>
      <w:r w:rsidRPr="00A85738">
        <w:rPr>
          <w:noProof/>
          <w:szCs w:val="24"/>
        </w:rPr>
        <w:t xml:space="preserve">, “Disaster preparedness and response capacity of regional hospitals in Tanzania: a descriptive cross-sectional study,” </w:t>
      </w:r>
      <w:r w:rsidRPr="00A85738">
        <w:rPr>
          <w:i/>
          <w:iCs/>
          <w:noProof/>
          <w:szCs w:val="24"/>
        </w:rPr>
        <w:t>BMC Health Serv. Res.</w:t>
      </w:r>
      <w:r w:rsidRPr="00A85738">
        <w:rPr>
          <w:noProof/>
          <w:szCs w:val="24"/>
        </w:rPr>
        <w:t>, vol. 18, no. 1, pp. 1–7, 2018, doi: 10.1186/s12913-018-3609-5.</w:t>
      </w:r>
    </w:p>
    <w:p w14:paraId="43C472DF"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[15]</w:t>
      </w:r>
      <w:r w:rsidRPr="00A85738">
        <w:rPr>
          <w:noProof/>
          <w:szCs w:val="24"/>
        </w:rPr>
        <w:tab/>
        <w:t xml:space="preserve">R. D. Kearns, J. H. Holmes, R. L. Alson, and B. A. Cairns, “Disaster planning: The past, present, and future concepts and principles of managing a surge of burn injured Patients for those involved in hospital facility planning and preparedness,” </w:t>
      </w:r>
      <w:r w:rsidRPr="00A85738">
        <w:rPr>
          <w:i/>
          <w:iCs/>
          <w:noProof/>
          <w:szCs w:val="24"/>
        </w:rPr>
        <w:t>J. Burn Care Res.</w:t>
      </w:r>
      <w:r w:rsidRPr="00A85738">
        <w:rPr>
          <w:noProof/>
          <w:szCs w:val="24"/>
        </w:rPr>
        <w:t>, vol. 35, no. 1, pp. 33–42, 2014, doi: 10.1097/BCR.0b013e318283b7d2.</w:t>
      </w:r>
    </w:p>
    <w:p w14:paraId="6277AAF4"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[16]</w:t>
      </w:r>
      <w:r w:rsidRPr="00A85738">
        <w:rPr>
          <w:noProof/>
          <w:szCs w:val="24"/>
        </w:rPr>
        <w:tab/>
        <w:t xml:space="preserve">R. Takim, A. H. Nawawi, and M. R. Esa, “Critical Components Contributing to Disaster Resilience </w:t>
      </w:r>
      <w:r w:rsidRPr="00A85738">
        <w:rPr>
          <w:noProof/>
          <w:szCs w:val="24"/>
        </w:rPr>
        <w:lastRenderedPageBreak/>
        <w:t xml:space="preserve">Hospitals,” </w:t>
      </w:r>
      <w:r w:rsidRPr="00A85738">
        <w:rPr>
          <w:i/>
          <w:iCs/>
          <w:noProof/>
          <w:szCs w:val="24"/>
        </w:rPr>
        <w:t>Aust. J. Basic Appl. Sci.</w:t>
      </w:r>
      <w:r w:rsidRPr="00A85738">
        <w:rPr>
          <w:noProof/>
          <w:szCs w:val="24"/>
        </w:rPr>
        <w:t>, no. April, pp. 72–75, 2015.</w:t>
      </w:r>
    </w:p>
    <w:p w14:paraId="23E63998"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[17]</w:t>
      </w:r>
      <w:r w:rsidRPr="00A85738">
        <w:rPr>
          <w:noProof/>
          <w:szCs w:val="24"/>
        </w:rPr>
        <w:tab/>
        <w:t xml:space="preserve">K. S. Hammad, P. Arbon, K. Gebbie, and A. Hutton, “Nursing in the emergency department (ED) during a disaster: A review of the current literature,” </w:t>
      </w:r>
      <w:r w:rsidRPr="00A85738">
        <w:rPr>
          <w:i/>
          <w:iCs/>
          <w:noProof/>
          <w:szCs w:val="24"/>
        </w:rPr>
        <w:t>Australas. Emerg. Nurs. J.</w:t>
      </w:r>
      <w:r w:rsidRPr="00A85738">
        <w:rPr>
          <w:noProof/>
          <w:szCs w:val="24"/>
        </w:rPr>
        <w:t>, vol. 15, no. 4, pp. 235–244, 2012, doi: 10.1016/j.aenj.2012.10.005.</w:t>
      </w:r>
    </w:p>
    <w:p w14:paraId="523C45B9"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[18]</w:t>
      </w:r>
      <w:r w:rsidRPr="00A85738">
        <w:rPr>
          <w:noProof/>
          <w:szCs w:val="24"/>
        </w:rPr>
        <w:tab/>
        <w:t xml:space="preserve">M. Tichy, A. E. Bond, R. Beckstrand, and B. Heise, </w:t>
      </w:r>
      <w:r w:rsidRPr="00A85738">
        <w:rPr>
          <w:i/>
          <w:iCs/>
          <w:noProof/>
          <w:szCs w:val="24"/>
        </w:rPr>
        <w:t>Nurse practitioners’ perception of disaster preparedness education</w:t>
      </w:r>
      <w:r w:rsidRPr="00A85738">
        <w:rPr>
          <w:noProof/>
          <w:szCs w:val="24"/>
        </w:rPr>
        <w:t>, vol. 13. 2009.</w:t>
      </w:r>
    </w:p>
    <w:p w14:paraId="6D4BAB50"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[19]</w:t>
      </w:r>
      <w:r w:rsidRPr="00A85738">
        <w:rPr>
          <w:noProof/>
          <w:szCs w:val="24"/>
        </w:rPr>
        <w:tab/>
        <w:t xml:space="preserve">WHO, </w:t>
      </w:r>
      <w:r w:rsidRPr="00A85738">
        <w:rPr>
          <w:i/>
          <w:iCs/>
          <w:noProof/>
          <w:szCs w:val="24"/>
        </w:rPr>
        <w:t>Health sector self-assessment tool for disaster risk reduction</w:t>
      </w:r>
      <w:r w:rsidRPr="00A85738">
        <w:rPr>
          <w:noProof/>
          <w:szCs w:val="24"/>
        </w:rPr>
        <w:t>. 2010.</w:t>
      </w:r>
    </w:p>
    <w:p w14:paraId="0AF8057D"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[20]</w:t>
      </w:r>
      <w:r w:rsidRPr="00A85738">
        <w:rPr>
          <w:noProof/>
          <w:szCs w:val="24"/>
        </w:rPr>
        <w:tab/>
        <w:t xml:space="preserve">R. W. Brislin, “Back-Translation for Cross-Cultural Research,” </w:t>
      </w:r>
      <w:r w:rsidRPr="00A85738">
        <w:rPr>
          <w:i/>
          <w:iCs/>
          <w:noProof/>
          <w:szCs w:val="24"/>
        </w:rPr>
        <w:t>J. Cross. Cult. Psychol.</w:t>
      </w:r>
      <w:r w:rsidRPr="00A85738">
        <w:rPr>
          <w:noProof/>
          <w:szCs w:val="24"/>
        </w:rPr>
        <w:t>, vol. 1, no. 3, pp. 185–216, Sep. 1970, doi: 10.1177/135910457000100301.</w:t>
      </w:r>
    </w:p>
    <w:p w14:paraId="67F755C3"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[21]</w:t>
      </w:r>
      <w:r w:rsidRPr="00A85738">
        <w:rPr>
          <w:noProof/>
          <w:szCs w:val="24"/>
        </w:rPr>
        <w:tab/>
        <w:t xml:space="preserve">J. M. Franc, P. L. Ingrassia, M. Verde, D. Colombo, and F. Della Corte, “A simple graphical method for quantification of disaster management surge capacity using computer simulation and process-control tools,” </w:t>
      </w:r>
      <w:r w:rsidRPr="00A85738">
        <w:rPr>
          <w:i/>
          <w:iCs/>
          <w:noProof/>
          <w:szCs w:val="24"/>
        </w:rPr>
        <w:t>Prehosp. Disaster Med.</w:t>
      </w:r>
      <w:r w:rsidRPr="00A85738">
        <w:rPr>
          <w:noProof/>
          <w:szCs w:val="24"/>
        </w:rPr>
        <w:t>, vol. 30, no. 1, 2014, doi: 10.1017/S1049023X1400123X.</w:t>
      </w:r>
    </w:p>
    <w:p w14:paraId="16A21360"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[22]</w:t>
      </w:r>
      <w:r w:rsidRPr="00A85738">
        <w:rPr>
          <w:noProof/>
          <w:szCs w:val="24"/>
        </w:rPr>
        <w:tab/>
        <w:t xml:space="preserve">S. Zhong, M. Clark, X. Y. Hou, Y. Zang, and G. FitzGerald, “Progress and challenges of disaster health management in China: A scoping review,” </w:t>
      </w:r>
      <w:r w:rsidRPr="00A85738">
        <w:rPr>
          <w:i/>
          <w:iCs/>
          <w:noProof/>
          <w:szCs w:val="24"/>
        </w:rPr>
        <w:t>Glob. Health Action</w:t>
      </w:r>
      <w:r w:rsidRPr="00A85738">
        <w:rPr>
          <w:noProof/>
          <w:szCs w:val="24"/>
        </w:rPr>
        <w:t>, vol. 7, no. 1, 2014, doi: 10.3402/gha.v7.24986.</w:t>
      </w:r>
    </w:p>
    <w:p w14:paraId="62CE152D"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[23]</w:t>
      </w:r>
      <w:r w:rsidRPr="00A85738">
        <w:rPr>
          <w:noProof/>
          <w:szCs w:val="24"/>
        </w:rPr>
        <w:tab/>
        <w:t xml:space="preserve">R. Powers and E. Daily, </w:t>
      </w:r>
      <w:r w:rsidRPr="00A85738">
        <w:rPr>
          <w:i/>
          <w:iCs/>
          <w:noProof/>
          <w:szCs w:val="24"/>
        </w:rPr>
        <w:t>International Disaster Nursing</w:t>
      </w:r>
      <w:r w:rsidRPr="00A85738">
        <w:rPr>
          <w:noProof/>
          <w:szCs w:val="24"/>
        </w:rPr>
        <w:t>, 1st ed. New York: Cambridge University Press, 2010.</w:t>
      </w:r>
    </w:p>
    <w:p w14:paraId="170F4E3F"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[24]</w:t>
      </w:r>
      <w:r w:rsidRPr="00A85738">
        <w:rPr>
          <w:noProof/>
          <w:szCs w:val="24"/>
        </w:rPr>
        <w:tab/>
        <w:t xml:space="preserve">R. J. Andrews and L. M. Quintana, “Unpredictable, unpreventable and impersonal medicine: Global disaster response in the 21st century,” </w:t>
      </w:r>
      <w:r w:rsidRPr="00A85738">
        <w:rPr>
          <w:i/>
          <w:iCs/>
          <w:noProof/>
          <w:szCs w:val="24"/>
        </w:rPr>
        <w:t>EPMA J.</w:t>
      </w:r>
      <w:r w:rsidRPr="00A85738">
        <w:rPr>
          <w:noProof/>
          <w:szCs w:val="24"/>
        </w:rPr>
        <w:t>, vol. 6, no. 1, pp. 1–12, 2015, doi: 10.1186/s13167-014-0024-9.</w:t>
      </w:r>
    </w:p>
    <w:p w14:paraId="413973C5"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[25]</w:t>
      </w:r>
      <w:r w:rsidRPr="00A85738">
        <w:rPr>
          <w:noProof/>
          <w:szCs w:val="24"/>
        </w:rPr>
        <w:tab/>
        <w:t xml:space="preserve">B. Dolan, A. Esson, P. Grainger, D. He, S. Richardson, and M. Ardagh, “Earthquake Disaster Response in Christchurch, New Zealand,” </w:t>
      </w:r>
      <w:r w:rsidRPr="00A85738">
        <w:rPr>
          <w:i/>
          <w:iCs/>
          <w:noProof/>
          <w:szCs w:val="24"/>
        </w:rPr>
        <w:t>J. Emerg. Nurs.</w:t>
      </w:r>
      <w:r w:rsidRPr="00A85738">
        <w:rPr>
          <w:noProof/>
          <w:szCs w:val="24"/>
        </w:rPr>
        <w:t>, vol. 37, no. 5, pp. 506–509, 2011, doi: 10.1016/j.jen.2011.06.009.</w:t>
      </w:r>
    </w:p>
    <w:p w14:paraId="541B1ED6"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[26]</w:t>
      </w:r>
      <w:r w:rsidRPr="00A85738">
        <w:rPr>
          <w:noProof/>
          <w:szCs w:val="24"/>
        </w:rPr>
        <w:tab/>
        <w:t xml:space="preserve">K. S. Hammad, P. Arbon, K. Gebbie, and A. Hutton, “Why a disaster is not just normal business ramped up: Disaster response among ED nurses,” </w:t>
      </w:r>
      <w:r w:rsidRPr="00A85738">
        <w:rPr>
          <w:i/>
          <w:iCs/>
          <w:noProof/>
          <w:szCs w:val="24"/>
        </w:rPr>
        <w:t>Australas. Emerg. Care</w:t>
      </w:r>
      <w:r w:rsidRPr="00A85738">
        <w:rPr>
          <w:noProof/>
          <w:szCs w:val="24"/>
        </w:rPr>
        <w:t>, vol. 21, no. 1, pp. 36–41, 2018, doi: 10.1016/j.aenj.2017.10.003.</w:t>
      </w:r>
    </w:p>
    <w:p w14:paraId="2F7AE284"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[27]</w:t>
      </w:r>
      <w:r w:rsidRPr="00A85738">
        <w:rPr>
          <w:noProof/>
          <w:szCs w:val="24"/>
        </w:rPr>
        <w:tab/>
        <w:t xml:space="preserve">S. Razak, S. Hignett, and J. Barnes, “Emergency Department Response to Chemical, Biological, Radiological, Nuclear, and Explosive Events: A Systematic Review,” </w:t>
      </w:r>
      <w:r w:rsidRPr="00A85738">
        <w:rPr>
          <w:i/>
          <w:iCs/>
          <w:noProof/>
          <w:szCs w:val="24"/>
        </w:rPr>
        <w:t>Prehospital and Disaster Medicine</w:t>
      </w:r>
      <w:r w:rsidRPr="00A85738">
        <w:rPr>
          <w:noProof/>
          <w:szCs w:val="24"/>
        </w:rPr>
        <w:t>, vol. 33, no. 5. 2018, doi: 10.1017/S1049023X18000900.</w:t>
      </w:r>
    </w:p>
    <w:p w14:paraId="1850B593"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[28]</w:t>
      </w:r>
      <w:r w:rsidRPr="00A85738">
        <w:rPr>
          <w:noProof/>
          <w:szCs w:val="24"/>
        </w:rPr>
        <w:tab/>
        <w:t xml:space="preserve">K. Rattanakanlaya, A. Sukonthasarn, S. Wangsrikhun, and C. Chanprasit, “Flood disaster preparedness experiences of hospital personnel in Thailand: A qualitative study,” </w:t>
      </w:r>
      <w:r w:rsidRPr="00A85738">
        <w:rPr>
          <w:i/>
          <w:iCs/>
          <w:noProof/>
          <w:szCs w:val="24"/>
        </w:rPr>
        <w:t>Australas. Emerg. Care</w:t>
      </w:r>
      <w:r w:rsidRPr="00A85738">
        <w:rPr>
          <w:noProof/>
          <w:szCs w:val="24"/>
        </w:rPr>
        <w:t>, vol. 21, no. 3, pp. 87–92, 2018, doi: 10.1016/j.auec.2018.07.002.</w:t>
      </w:r>
    </w:p>
    <w:p w14:paraId="6B529726"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[29]</w:t>
      </w:r>
      <w:r w:rsidRPr="00A85738">
        <w:rPr>
          <w:noProof/>
          <w:szCs w:val="24"/>
        </w:rPr>
        <w:tab/>
        <w:t xml:space="preserve">N. A. Bajow and S. M. Alkhalil, “Evaluation and Analysis of Hospital Disaster Preparedness in Jeddah,” </w:t>
      </w:r>
      <w:r w:rsidRPr="00A85738">
        <w:rPr>
          <w:i/>
          <w:iCs/>
          <w:noProof/>
          <w:szCs w:val="24"/>
        </w:rPr>
        <w:t>Health (Irvine. Calif).</w:t>
      </w:r>
      <w:r w:rsidRPr="00A85738">
        <w:rPr>
          <w:noProof/>
          <w:szCs w:val="24"/>
        </w:rPr>
        <w:t>, vol. 06, no. 19, pp. 2668–2687, 2014, doi: 10.4236/health.2014.619306.</w:t>
      </w:r>
    </w:p>
    <w:p w14:paraId="5A7D8956" w14:textId="77777777" w:rsidR="00A85738" w:rsidRPr="00A85738" w:rsidRDefault="00A85738" w:rsidP="00A85738">
      <w:pPr>
        <w:widowControl w:val="0"/>
        <w:autoSpaceDE w:val="0"/>
        <w:autoSpaceDN w:val="0"/>
        <w:adjustRightInd w:val="0"/>
        <w:ind w:left="640" w:hanging="640"/>
        <w:rPr>
          <w:noProof/>
          <w:szCs w:val="24"/>
        </w:rPr>
      </w:pPr>
      <w:r w:rsidRPr="00A85738">
        <w:rPr>
          <w:noProof/>
          <w:szCs w:val="24"/>
        </w:rPr>
        <w:t>[30]</w:t>
      </w:r>
      <w:r w:rsidRPr="00A85738">
        <w:rPr>
          <w:noProof/>
          <w:szCs w:val="24"/>
        </w:rPr>
        <w:tab/>
        <w:t xml:space="preserve">M. Chiu, B. J. Polivka, and S. A. R. Stanley, “Evaluation of a Disaster-Surge Training for Public Health Nurses,” </w:t>
      </w:r>
      <w:r w:rsidRPr="00A85738">
        <w:rPr>
          <w:i/>
          <w:iCs/>
          <w:noProof/>
          <w:szCs w:val="24"/>
        </w:rPr>
        <w:t>Public Health Nurs.</w:t>
      </w:r>
      <w:r w:rsidRPr="00A85738">
        <w:rPr>
          <w:noProof/>
          <w:szCs w:val="24"/>
        </w:rPr>
        <w:t>, vol. 29, no. 2, pp. 136–142, 2012, doi: 10.1111/j.1525-1446.2011.00984.x.</w:t>
      </w:r>
    </w:p>
    <w:p w14:paraId="1D0A7DE3" w14:textId="77777777" w:rsidR="00A85738" w:rsidRPr="00A85738" w:rsidRDefault="00A85738" w:rsidP="00A85738">
      <w:pPr>
        <w:widowControl w:val="0"/>
        <w:autoSpaceDE w:val="0"/>
        <w:autoSpaceDN w:val="0"/>
        <w:adjustRightInd w:val="0"/>
        <w:ind w:left="640" w:hanging="640"/>
        <w:rPr>
          <w:noProof/>
        </w:rPr>
      </w:pPr>
      <w:r w:rsidRPr="00A85738">
        <w:rPr>
          <w:noProof/>
          <w:szCs w:val="24"/>
        </w:rPr>
        <w:t>[31]</w:t>
      </w:r>
      <w:r w:rsidRPr="00A85738">
        <w:rPr>
          <w:noProof/>
          <w:szCs w:val="24"/>
        </w:rPr>
        <w:tab/>
        <w:t>A. M. Snyder and M. E. Gebhart, “Chapter 20 - Disaster and Emergency Management Programs,” G. R. B. T.-C. D. M. (Second E. Ciottone, Ed. Philadelphia: Elsevier, 2016, pp. 120–124.</w:t>
      </w:r>
    </w:p>
    <w:p w14:paraId="449A320A" w14:textId="4BE476A3" w:rsidR="00F81ABB" w:rsidRDefault="00541AAE" w:rsidP="00F81ABB">
      <w:pPr>
        <w:tabs>
          <w:tab w:val="left" w:pos="426"/>
        </w:tabs>
        <w:jc w:val="both"/>
        <w:rPr>
          <w:lang w:val="id-ID"/>
        </w:rPr>
      </w:pPr>
      <w:r>
        <w:rPr>
          <w:lang w:val="id-ID"/>
        </w:rPr>
        <w:fldChar w:fldCharType="end"/>
      </w:r>
    </w:p>
    <w:p w14:paraId="16A815FF" w14:textId="496095C1" w:rsidR="00541AAE" w:rsidRDefault="00541AAE" w:rsidP="00F81ABB">
      <w:pPr>
        <w:tabs>
          <w:tab w:val="left" w:pos="426"/>
        </w:tabs>
        <w:jc w:val="both"/>
        <w:rPr>
          <w:lang w:val="id-ID"/>
        </w:rPr>
      </w:pPr>
    </w:p>
    <w:p w14:paraId="6BD7D0E7" w14:textId="77777777" w:rsidR="00AA2F20" w:rsidRDefault="00AA2F20" w:rsidP="00F81ABB">
      <w:pPr>
        <w:rPr>
          <w:rStyle w:val="apple-style-span"/>
          <w:b/>
          <w:color w:val="000000"/>
          <w:lang w:val="pt-BR"/>
        </w:rPr>
      </w:pPr>
    </w:p>
    <w:p w14:paraId="39A6DD1E" w14:textId="4F32C9BA" w:rsidR="00AA2F20" w:rsidRDefault="00AA2F20" w:rsidP="00F81ABB">
      <w:pPr>
        <w:rPr>
          <w:rStyle w:val="apple-style-span"/>
          <w:b/>
          <w:color w:val="000000"/>
          <w:lang w:val="pt-BR"/>
        </w:rPr>
      </w:pPr>
    </w:p>
    <w:p w14:paraId="6A71CCA5" w14:textId="2AC4BB3F" w:rsidR="00A85738" w:rsidRDefault="00A85738" w:rsidP="00F81ABB">
      <w:pPr>
        <w:rPr>
          <w:rStyle w:val="apple-style-span"/>
          <w:b/>
          <w:color w:val="000000"/>
          <w:lang w:val="pt-BR"/>
        </w:rPr>
      </w:pPr>
    </w:p>
    <w:p w14:paraId="5850298A" w14:textId="1656822E" w:rsidR="00A85738" w:rsidRDefault="00A85738" w:rsidP="00F81ABB">
      <w:pPr>
        <w:rPr>
          <w:rStyle w:val="apple-style-span"/>
          <w:b/>
          <w:color w:val="000000"/>
          <w:lang w:val="pt-BR"/>
        </w:rPr>
      </w:pPr>
    </w:p>
    <w:p w14:paraId="0FCCD988" w14:textId="40C20070" w:rsidR="00A85738" w:rsidRDefault="00A85738" w:rsidP="00F81ABB">
      <w:pPr>
        <w:rPr>
          <w:rStyle w:val="apple-style-span"/>
          <w:b/>
          <w:color w:val="000000"/>
          <w:lang w:val="pt-BR"/>
        </w:rPr>
      </w:pPr>
    </w:p>
    <w:p w14:paraId="6D978DD8" w14:textId="6A298A68" w:rsidR="00A85738" w:rsidRDefault="00A85738" w:rsidP="00F81ABB">
      <w:pPr>
        <w:rPr>
          <w:rStyle w:val="apple-style-span"/>
          <w:b/>
          <w:color w:val="000000"/>
          <w:lang w:val="pt-BR"/>
        </w:rPr>
      </w:pPr>
    </w:p>
    <w:p w14:paraId="56AFAA32" w14:textId="2C212804" w:rsidR="00A85738" w:rsidRDefault="00A85738" w:rsidP="00F81ABB">
      <w:pPr>
        <w:rPr>
          <w:rStyle w:val="apple-style-span"/>
          <w:b/>
          <w:color w:val="000000"/>
          <w:lang w:val="pt-BR"/>
        </w:rPr>
      </w:pPr>
    </w:p>
    <w:p w14:paraId="0F08F1DB" w14:textId="65330E36" w:rsidR="00A85738" w:rsidRDefault="00A85738" w:rsidP="00F81ABB">
      <w:pPr>
        <w:rPr>
          <w:rStyle w:val="apple-style-span"/>
          <w:b/>
          <w:color w:val="000000"/>
          <w:lang w:val="pt-BR"/>
        </w:rPr>
      </w:pPr>
    </w:p>
    <w:p w14:paraId="72B51B89" w14:textId="77777777" w:rsidR="00A85738" w:rsidRDefault="00A85738" w:rsidP="00F81ABB">
      <w:pPr>
        <w:rPr>
          <w:rStyle w:val="apple-style-span"/>
          <w:b/>
          <w:color w:val="000000"/>
          <w:lang w:val="pt-BR"/>
        </w:rPr>
      </w:pPr>
    </w:p>
    <w:p w14:paraId="5C7338AA" w14:textId="77777777" w:rsidR="00AA2F20" w:rsidRDefault="00AA2F20" w:rsidP="00F81ABB">
      <w:pPr>
        <w:rPr>
          <w:rStyle w:val="apple-style-span"/>
          <w:b/>
          <w:color w:val="000000"/>
          <w:lang w:val="pt-BR"/>
        </w:rPr>
      </w:pPr>
    </w:p>
    <w:p w14:paraId="1BBD09E1" w14:textId="77777777" w:rsidR="00AA2F20" w:rsidRDefault="00AA2F20" w:rsidP="00F81ABB">
      <w:pPr>
        <w:rPr>
          <w:rStyle w:val="apple-style-span"/>
          <w:b/>
          <w:color w:val="000000"/>
          <w:lang w:val="pt-BR"/>
        </w:rPr>
      </w:pPr>
    </w:p>
    <w:p w14:paraId="6FAAFFB5" w14:textId="77777777" w:rsidR="00AA2F20" w:rsidRDefault="00AA2F20" w:rsidP="00F81ABB">
      <w:pPr>
        <w:rPr>
          <w:rStyle w:val="apple-style-span"/>
          <w:b/>
          <w:color w:val="000000"/>
          <w:lang w:val="pt-BR"/>
        </w:rPr>
      </w:pPr>
    </w:p>
    <w:p w14:paraId="16C206C3" w14:textId="77777777" w:rsidR="00AA2F20" w:rsidRDefault="00AA2F20" w:rsidP="00F81ABB">
      <w:pPr>
        <w:rPr>
          <w:rStyle w:val="apple-style-span"/>
          <w:b/>
          <w:color w:val="000000"/>
          <w:lang w:val="pt-BR"/>
        </w:rPr>
      </w:pPr>
    </w:p>
    <w:p w14:paraId="48E409D0" w14:textId="77777777" w:rsidR="00AA2F20" w:rsidRDefault="00AA2F20" w:rsidP="00F81ABB">
      <w:pPr>
        <w:rPr>
          <w:rStyle w:val="apple-style-span"/>
          <w:b/>
          <w:color w:val="000000"/>
          <w:lang w:val="pt-BR"/>
        </w:rPr>
      </w:pPr>
    </w:p>
    <w:p w14:paraId="50EF72EC" w14:textId="77777777" w:rsidR="00AA2F20" w:rsidRDefault="00AA2F20" w:rsidP="00F81ABB">
      <w:pPr>
        <w:rPr>
          <w:rStyle w:val="apple-style-span"/>
          <w:b/>
          <w:color w:val="000000"/>
          <w:lang w:val="pt-BR"/>
        </w:rPr>
      </w:pPr>
    </w:p>
    <w:p w14:paraId="083730D5" w14:textId="77777777" w:rsidR="00AA2F20" w:rsidRDefault="00AA2F20" w:rsidP="00F81ABB">
      <w:pPr>
        <w:rPr>
          <w:rStyle w:val="apple-style-span"/>
          <w:b/>
          <w:color w:val="000000"/>
          <w:lang w:val="pt-BR"/>
        </w:rPr>
      </w:pPr>
    </w:p>
    <w:p w14:paraId="1BE675DF" w14:textId="77777777" w:rsidR="00AA2F20" w:rsidRDefault="00AA2F20" w:rsidP="00F81ABB">
      <w:pPr>
        <w:rPr>
          <w:rStyle w:val="apple-style-span"/>
          <w:b/>
          <w:color w:val="000000"/>
          <w:lang w:val="pt-BR"/>
        </w:rPr>
      </w:pPr>
    </w:p>
    <w:p w14:paraId="2BC6C327" w14:textId="77777777" w:rsidR="00AA2F20" w:rsidRDefault="00AA2F20" w:rsidP="00F81ABB">
      <w:pPr>
        <w:rPr>
          <w:rStyle w:val="apple-style-span"/>
          <w:b/>
          <w:color w:val="000000"/>
          <w:lang w:val="pt-BR"/>
        </w:rPr>
      </w:pPr>
    </w:p>
    <w:p w14:paraId="145835AE" w14:textId="28EE4285" w:rsidR="00231A19" w:rsidRDefault="00F33C08" w:rsidP="00F81ABB">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p>
    <w:p w14:paraId="17101E2B" w14:textId="3F271EFE" w:rsidR="00231A19" w:rsidRDefault="00231A19" w:rsidP="00231A19">
      <w:pPr>
        <w:rPr>
          <w:b/>
          <w:bCs/>
        </w:rPr>
      </w:pP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7141"/>
      </w:tblGrid>
      <w:tr w:rsidR="00231A19" w14:paraId="24591462" w14:textId="77777777" w:rsidTr="00541AAE">
        <w:trPr>
          <w:trHeight w:val="1951"/>
        </w:trPr>
        <w:tc>
          <w:tcPr>
            <w:tcW w:w="1791" w:type="dxa"/>
          </w:tcPr>
          <w:p w14:paraId="606215CF" w14:textId="6D57FD94" w:rsidR="00231A19" w:rsidRPr="00231A19" w:rsidRDefault="00541AAE" w:rsidP="00A47AD5">
            <w:pPr>
              <w:rPr>
                <w:color w:val="000000"/>
                <w:lang w:val="pt-BR"/>
              </w:rPr>
            </w:pPr>
            <w:r>
              <w:rPr>
                <w:rStyle w:val="apple-style-span"/>
                <w:b/>
                <w:noProof/>
                <w:color w:val="000000"/>
                <w:lang w:val="pt-BR"/>
              </w:rPr>
              <w:drawing>
                <wp:anchor distT="0" distB="0" distL="114300" distR="114300" simplePos="0" relativeHeight="251652608" behindDoc="1" locked="0" layoutInCell="1" allowOverlap="1" wp14:anchorId="19BE78DD" wp14:editId="03C8DD4C">
                  <wp:simplePos x="0" y="0"/>
                  <wp:positionH relativeFrom="column">
                    <wp:posOffset>120015</wp:posOffset>
                  </wp:positionH>
                  <wp:positionV relativeFrom="paragraph">
                    <wp:posOffset>22860</wp:posOffset>
                  </wp:positionV>
                  <wp:extent cx="657225" cy="95319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953194"/>
                          </a:xfrm>
                          <a:prstGeom prst="rect">
                            <a:avLst/>
                          </a:prstGeom>
                          <a:noFill/>
                          <a:ln>
                            <a:noFill/>
                          </a:ln>
                        </pic:spPr>
                      </pic:pic>
                    </a:graphicData>
                  </a:graphic>
                </wp:anchor>
              </w:drawing>
            </w:r>
          </w:p>
          <w:p w14:paraId="42FCDEDE" w14:textId="428BB995" w:rsidR="00231A19" w:rsidRPr="00231A19" w:rsidRDefault="00231A19" w:rsidP="00A47AD5">
            <w:pPr>
              <w:jc w:val="center"/>
              <w:rPr>
                <w:color w:val="000000"/>
                <w:lang w:val="pt-BR"/>
              </w:rPr>
            </w:pPr>
          </w:p>
          <w:p w14:paraId="79FEC815" w14:textId="77777777" w:rsidR="00231A19" w:rsidRPr="00231A19" w:rsidRDefault="00231A19" w:rsidP="00A47AD5">
            <w:pPr>
              <w:jc w:val="center"/>
              <w:rPr>
                <w:color w:val="000000"/>
                <w:lang w:val="pt-BR"/>
              </w:rPr>
            </w:pPr>
          </w:p>
        </w:tc>
        <w:tc>
          <w:tcPr>
            <w:tcW w:w="7141" w:type="dxa"/>
          </w:tcPr>
          <w:p w14:paraId="7DE98B25" w14:textId="6DB0C42D" w:rsidR="00541AAE" w:rsidRPr="00541AAE" w:rsidRDefault="00541AAE" w:rsidP="00541AAE">
            <w:pPr>
              <w:rPr>
                <w:color w:val="000000"/>
              </w:rPr>
            </w:pPr>
            <w:r w:rsidRPr="00541AAE">
              <w:rPr>
                <w:color w:val="000000"/>
                <w:lang w:val="en"/>
              </w:rPr>
              <w:t xml:space="preserve">Dewa </w:t>
            </w:r>
            <w:proofErr w:type="spellStart"/>
            <w:r w:rsidRPr="00541AAE">
              <w:rPr>
                <w:color w:val="000000"/>
                <w:lang w:val="en"/>
              </w:rPr>
              <w:t>Gede</w:t>
            </w:r>
            <w:proofErr w:type="spellEnd"/>
            <w:r w:rsidRPr="00541AAE">
              <w:rPr>
                <w:color w:val="000000"/>
                <w:lang w:val="en"/>
              </w:rPr>
              <w:t xml:space="preserve"> Sanjaya Putra is a nurse practitioner in the emergency department of the H.L. General Hospital </w:t>
            </w:r>
            <w:proofErr w:type="spellStart"/>
            <w:r w:rsidRPr="00541AAE">
              <w:rPr>
                <w:color w:val="000000"/>
                <w:lang w:val="en"/>
              </w:rPr>
              <w:t>Manambai</w:t>
            </w:r>
            <w:proofErr w:type="spellEnd"/>
            <w:r w:rsidRPr="00541AAE">
              <w:rPr>
                <w:color w:val="000000"/>
                <w:lang w:val="en"/>
              </w:rPr>
              <w:t xml:space="preserve"> Abdulkadir Sumbawa</w:t>
            </w:r>
            <w:r>
              <w:rPr>
                <w:color w:val="000000"/>
                <w:lang w:val="en"/>
              </w:rPr>
              <w:t xml:space="preserve">. </w:t>
            </w:r>
            <w:r w:rsidRPr="00541AAE">
              <w:rPr>
                <w:color w:val="000000"/>
                <w:lang w:val="en"/>
              </w:rPr>
              <w:t>For the time</w:t>
            </w:r>
            <w:r>
              <w:rPr>
                <w:color w:val="000000"/>
                <w:lang w:val="en"/>
              </w:rPr>
              <w:t xml:space="preserve">, </w:t>
            </w:r>
            <w:r w:rsidRPr="00541AAE">
              <w:rPr>
                <w:color w:val="000000"/>
                <w:lang w:val="en"/>
              </w:rPr>
              <w:t xml:space="preserve">he is studying postgraduate nursing in the master of </w:t>
            </w:r>
            <w:r w:rsidR="0028221A">
              <w:rPr>
                <w:color w:val="000000"/>
                <w:lang w:val="en"/>
              </w:rPr>
              <w:t xml:space="preserve">the </w:t>
            </w:r>
            <w:r w:rsidRPr="00541AAE">
              <w:rPr>
                <w:color w:val="000000"/>
                <w:lang w:val="en"/>
              </w:rPr>
              <w:t xml:space="preserve">nursing program, </w:t>
            </w:r>
            <w:proofErr w:type="spellStart"/>
            <w:r w:rsidRPr="00541AAE">
              <w:rPr>
                <w:color w:val="000000"/>
                <w:lang w:val="en"/>
              </w:rPr>
              <w:t>Brawijaya</w:t>
            </w:r>
            <w:proofErr w:type="spellEnd"/>
            <w:r w:rsidRPr="00541AAE">
              <w:rPr>
                <w:color w:val="000000"/>
                <w:lang w:val="en"/>
              </w:rPr>
              <w:t xml:space="preserve"> University</w:t>
            </w:r>
          </w:p>
          <w:p w14:paraId="0AC2CEF1" w14:textId="038BFC1D" w:rsidR="00541AAE" w:rsidRPr="00541AAE" w:rsidRDefault="00541AAE" w:rsidP="00541AAE">
            <w:pPr>
              <w:rPr>
                <w:color w:val="000000"/>
              </w:rPr>
            </w:pPr>
          </w:p>
          <w:p w14:paraId="6D63F6EB" w14:textId="77777777" w:rsidR="00231A19" w:rsidRPr="00231A19" w:rsidRDefault="00231A19" w:rsidP="00A47AD5">
            <w:pPr>
              <w:rPr>
                <w:color w:val="000000"/>
                <w:lang w:val="pt-BR"/>
              </w:rPr>
            </w:pPr>
          </w:p>
          <w:p w14:paraId="2F048384" w14:textId="77777777" w:rsidR="00231A19" w:rsidRPr="00231A19" w:rsidRDefault="00231A19" w:rsidP="00A47AD5">
            <w:pPr>
              <w:rPr>
                <w:color w:val="000000"/>
                <w:lang w:val="pt-BR"/>
              </w:rPr>
            </w:pPr>
          </w:p>
          <w:p w14:paraId="5B363964" w14:textId="77777777" w:rsidR="00231A19" w:rsidRPr="00231A19" w:rsidRDefault="00231A19" w:rsidP="00A47AD5">
            <w:pPr>
              <w:rPr>
                <w:color w:val="000000"/>
                <w:lang w:val="pt-BR"/>
              </w:rPr>
            </w:pPr>
          </w:p>
          <w:p w14:paraId="4A449462" w14:textId="77777777" w:rsidR="00231A19" w:rsidRDefault="00231A19" w:rsidP="00A47AD5">
            <w:pPr>
              <w:rPr>
                <w:color w:val="000000"/>
                <w:lang w:val="pt-BR"/>
              </w:rPr>
            </w:pPr>
          </w:p>
          <w:p w14:paraId="684E712F" w14:textId="77777777" w:rsidR="00A47AD5" w:rsidRPr="00231A19" w:rsidRDefault="00A47AD5" w:rsidP="00A47AD5">
            <w:pPr>
              <w:rPr>
                <w:color w:val="000000"/>
                <w:lang w:val="pt-BR"/>
              </w:rPr>
            </w:pPr>
          </w:p>
        </w:tc>
      </w:tr>
      <w:tr w:rsidR="00A47AD5" w14:paraId="51E6E271" w14:textId="77777777" w:rsidTr="00541AAE">
        <w:trPr>
          <w:trHeight w:val="212"/>
        </w:trPr>
        <w:tc>
          <w:tcPr>
            <w:tcW w:w="1791" w:type="dxa"/>
          </w:tcPr>
          <w:p w14:paraId="086FB432" w14:textId="77777777" w:rsidR="00A47AD5" w:rsidRPr="00231A19" w:rsidRDefault="00A47AD5" w:rsidP="00A47AD5">
            <w:pPr>
              <w:rPr>
                <w:color w:val="000000"/>
                <w:lang w:val="pt-BR"/>
              </w:rPr>
            </w:pPr>
          </w:p>
        </w:tc>
        <w:tc>
          <w:tcPr>
            <w:tcW w:w="7141" w:type="dxa"/>
          </w:tcPr>
          <w:p w14:paraId="4060854E" w14:textId="77777777" w:rsidR="00A47AD5" w:rsidRPr="00231A19" w:rsidRDefault="00A47AD5" w:rsidP="00A47AD5">
            <w:pPr>
              <w:jc w:val="both"/>
              <w:rPr>
                <w:color w:val="000000"/>
                <w:sz w:val="18"/>
                <w:szCs w:val="18"/>
              </w:rPr>
            </w:pPr>
          </w:p>
        </w:tc>
      </w:tr>
      <w:tr w:rsidR="00231A19" w14:paraId="049F5C4D" w14:textId="77777777" w:rsidTr="00541AAE">
        <w:trPr>
          <w:trHeight w:val="2163"/>
        </w:trPr>
        <w:tc>
          <w:tcPr>
            <w:tcW w:w="1791" w:type="dxa"/>
          </w:tcPr>
          <w:p w14:paraId="2189F27A" w14:textId="3B4E94B5" w:rsidR="00231A19" w:rsidRPr="00231A19" w:rsidRDefault="00541AAE" w:rsidP="00A47AD5">
            <w:pPr>
              <w:rPr>
                <w:color w:val="000000"/>
                <w:lang w:val="pt-BR"/>
              </w:rPr>
            </w:pPr>
            <w:r>
              <w:rPr>
                <w:noProof/>
                <w:color w:val="000000"/>
                <w:lang w:val="en"/>
              </w:rPr>
              <w:drawing>
                <wp:anchor distT="0" distB="0" distL="114300" distR="114300" simplePos="0" relativeHeight="251655680" behindDoc="1" locked="0" layoutInCell="1" allowOverlap="1" wp14:anchorId="3157F494" wp14:editId="146EA317">
                  <wp:simplePos x="0" y="0"/>
                  <wp:positionH relativeFrom="column">
                    <wp:posOffset>186690</wp:posOffset>
                  </wp:positionH>
                  <wp:positionV relativeFrom="paragraph">
                    <wp:posOffset>149860</wp:posOffset>
                  </wp:positionV>
                  <wp:extent cx="676275" cy="1019810"/>
                  <wp:effectExtent l="0" t="0" r="9525" b="8890"/>
                  <wp:wrapTight wrapText="bothSides">
                    <wp:wrapPolygon edited="0">
                      <wp:start x="0" y="0"/>
                      <wp:lineTo x="0" y="21385"/>
                      <wp:lineTo x="21296" y="21385"/>
                      <wp:lineTo x="2129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1019810"/>
                          </a:xfrm>
                          <a:prstGeom prst="rect">
                            <a:avLst/>
                          </a:prstGeom>
                          <a:noFill/>
                          <a:ln>
                            <a:noFill/>
                          </a:ln>
                        </pic:spPr>
                      </pic:pic>
                    </a:graphicData>
                  </a:graphic>
                </wp:anchor>
              </w:drawing>
            </w:r>
          </w:p>
          <w:p w14:paraId="4CEC0F26" w14:textId="74E2C939" w:rsidR="00231A19" w:rsidRPr="00231A19" w:rsidRDefault="00231A19" w:rsidP="00A47AD5">
            <w:pPr>
              <w:jc w:val="center"/>
              <w:rPr>
                <w:color w:val="000000"/>
                <w:lang w:val="pt-BR"/>
              </w:rPr>
            </w:pPr>
          </w:p>
          <w:p w14:paraId="170DF43B" w14:textId="77777777" w:rsidR="00231A19" w:rsidRPr="00231A19" w:rsidRDefault="00231A19" w:rsidP="00A47AD5">
            <w:pPr>
              <w:jc w:val="center"/>
              <w:rPr>
                <w:color w:val="000000"/>
                <w:lang w:val="pt-BR"/>
              </w:rPr>
            </w:pPr>
          </w:p>
        </w:tc>
        <w:tc>
          <w:tcPr>
            <w:tcW w:w="7141" w:type="dxa"/>
          </w:tcPr>
          <w:p w14:paraId="06D3D44C" w14:textId="6046940E" w:rsidR="00541AAE" w:rsidRPr="00541AAE" w:rsidRDefault="0028221A" w:rsidP="00541AAE">
            <w:pPr>
              <w:rPr>
                <w:color w:val="000000"/>
              </w:rPr>
            </w:pPr>
            <w:proofErr w:type="spellStart"/>
            <w:r>
              <w:rPr>
                <w:color w:val="000000"/>
                <w:lang w:val="en"/>
              </w:rPr>
              <w:t>Dr.</w:t>
            </w:r>
            <w:r w:rsidR="00541AAE" w:rsidRPr="00541AAE">
              <w:rPr>
                <w:color w:val="000000"/>
                <w:lang w:val="en"/>
              </w:rPr>
              <w:t>Kuswantoro</w:t>
            </w:r>
            <w:proofErr w:type="spellEnd"/>
            <w:r w:rsidR="00541AAE" w:rsidRPr="00541AAE">
              <w:rPr>
                <w:color w:val="000000"/>
                <w:lang w:val="en"/>
              </w:rPr>
              <w:t xml:space="preserve"> </w:t>
            </w:r>
            <w:proofErr w:type="spellStart"/>
            <w:r w:rsidR="00541AAE" w:rsidRPr="00541AAE">
              <w:rPr>
                <w:color w:val="000000"/>
                <w:lang w:val="en"/>
              </w:rPr>
              <w:t>Rusca</w:t>
            </w:r>
            <w:proofErr w:type="spellEnd"/>
            <w:r w:rsidR="00541AAE" w:rsidRPr="00541AAE">
              <w:rPr>
                <w:color w:val="000000"/>
                <w:lang w:val="en"/>
              </w:rPr>
              <w:t xml:space="preserve"> Putra</w:t>
            </w:r>
            <w:r>
              <w:rPr>
                <w:color w:val="000000"/>
                <w:lang w:val="en"/>
              </w:rPr>
              <w:t xml:space="preserve">, </w:t>
            </w:r>
            <w:proofErr w:type="spellStart"/>
            <w:r>
              <w:rPr>
                <w:color w:val="000000"/>
                <w:lang w:val="en"/>
              </w:rPr>
              <w:t>S.Kp</w:t>
            </w:r>
            <w:proofErr w:type="spellEnd"/>
            <w:r>
              <w:rPr>
                <w:color w:val="000000"/>
                <w:lang w:val="en"/>
              </w:rPr>
              <w:t xml:space="preserve">., </w:t>
            </w:r>
            <w:proofErr w:type="spellStart"/>
            <w:r>
              <w:rPr>
                <w:color w:val="000000"/>
                <w:lang w:val="en"/>
              </w:rPr>
              <w:t>M.Kep</w:t>
            </w:r>
            <w:proofErr w:type="spellEnd"/>
            <w:r w:rsidR="00541AAE" w:rsidRPr="00541AAE">
              <w:rPr>
                <w:color w:val="000000"/>
                <w:lang w:val="en"/>
              </w:rPr>
              <w:t xml:space="preserve"> is a lecturer in the Nursing Program, Faculty of Medicine, </w:t>
            </w:r>
            <w:proofErr w:type="spellStart"/>
            <w:r w:rsidR="00541AAE" w:rsidRPr="00541AAE">
              <w:rPr>
                <w:color w:val="000000"/>
                <w:lang w:val="en"/>
              </w:rPr>
              <w:t>Brawijaya</w:t>
            </w:r>
            <w:proofErr w:type="spellEnd"/>
            <w:r w:rsidR="00541AAE" w:rsidRPr="00541AAE">
              <w:rPr>
                <w:color w:val="000000"/>
                <w:lang w:val="en"/>
              </w:rPr>
              <w:t xml:space="preserve"> University.</w:t>
            </w:r>
            <w:r w:rsidR="0017130D">
              <w:rPr>
                <w:color w:val="000000"/>
                <w:lang w:val="en"/>
              </w:rPr>
              <w:t xml:space="preserve"> He</w:t>
            </w:r>
            <w:r w:rsidR="00541AAE" w:rsidRPr="00541AAE">
              <w:rPr>
                <w:color w:val="000000"/>
                <w:lang w:val="en"/>
              </w:rPr>
              <w:t xml:space="preserve"> completed her bachelor of nursing at </w:t>
            </w:r>
            <w:proofErr w:type="spellStart"/>
            <w:r w:rsidR="00541AAE" w:rsidRPr="00541AAE">
              <w:rPr>
                <w:color w:val="000000"/>
                <w:lang w:val="en"/>
              </w:rPr>
              <w:t>Padjadjaran</w:t>
            </w:r>
            <w:proofErr w:type="spellEnd"/>
            <w:r w:rsidR="00541AAE" w:rsidRPr="00541AAE">
              <w:rPr>
                <w:color w:val="000000"/>
                <w:lang w:val="en"/>
              </w:rPr>
              <w:t xml:space="preserve"> University, Master's Degree</w:t>
            </w:r>
            <w:r>
              <w:rPr>
                <w:color w:val="000000"/>
                <w:lang w:val="en"/>
              </w:rPr>
              <w:t>,</w:t>
            </w:r>
            <w:r w:rsidR="00541AAE" w:rsidRPr="00541AAE">
              <w:rPr>
                <w:color w:val="000000"/>
                <w:lang w:val="en"/>
              </w:rPr>
              <w:t xml:space="preserve"> and Doctoral Programs at the University of Indonesia with </w:t>
            </w:r>
            <w:r>
              <w:rPr>
                <w:color w:val="000000"/>
                <w:lang w:val="en"/>
              </w:rPr>
              <w:t xml:space="preserve">a </w:t>
            </w:r>
            <w:r w:rsidR="00541AAE" w:rsidRPr="00541AAE">
              <w:rPr>
                <w:color w:val="000000"/>
                <w:lang w:val="en"/>
              </w:rPr>
              <w:t>specialization in nursing management.</w:t>
            </w:r>
          </w:p>
          <w:p w14:paraId="1AB0CEA0" w14:textId="07842B33" w:rsidR="00F33C08" w:rsidRPr="00231A19" w:rsidRDefault="00F33C08" w:rsidP="00A47AD5">
            <w:pPr>
              <w:rPr>
                <w:color w:val="000000"/>
                <w:lang w:val="pt-BR"/>
              </w:rPr>
            </w:pPr>
          </w:p>
          <w:p w14:paraId="0BF390A4" w14:textId="77777777" w:rsidR="00F33C08" w:rsidRPr="00231A19" w:rsidRDefault="00F33C08" w:rsidP="00A47AD5">
            <w:pPr>
              <w:rPr>
                <w:color w:val="000000"/>
                <w:lang w:val="pt-BR"/>
              </w:rPr>
            </w:pPr>
          </w:p>
          <w:p w14:paraId="1A00A61E" w14:textId="77777777" w:rsidR="00F33C08" w:rsidRDefault="00F33C08" w:rsidP="00A47AD5">
            <w:pPr>
              <w:rPr>
                <w:color w:val="000000"/>
                <w:lang w:val="pt-BR"/>
              </w:rPr>
            </w:pPr>
          </w:p>
          <w:p w14:paraId="25F18BC4" w14:textId="77777777" w:rsidR="00A47AD5" w:rsidRPr="00231A19" w:rsidRDefault="00A47AD5" w:rsidP="00A47AD5">
            <w:pPr>
              <w:rPr>
                <w:color w:val="000000"/>
                <w:lang w:val="pt-BR"/>
              </w:rPr>
            </w:pPr>
          </w:p>
          <w:p w14:paraId="3E8BA0E4" w14:textId="77777777" w:rsidR="00231A19" w:rsidRDefault="00231A19" w:rsidP="00A47AD5">
            <w:pPr>
              <w:rPr>
                <w:color w:val="000000"/>
                <w:lang w:val="pt-BR"/>
              </w:rPr>
            </w:pPr>
          </w:p>
          <w:p w14:paraId="0DA817A2" w14:textId="77777777" w:rsidR="00A47AD5" w:rsidRPr="00231A19" w:rsidRDefault="00A47AD5" w:rsidP="00A47AD5">
            <w:pPr>
              <w:rPr>
                <w:color w:val="000000"/>
                <w:lang w:val="pt-BR"/>
              </w:rPr>
            </w:pPr>
          </w:p>
        </w:tc>
      </w:tr>
      <w:tr w:rsidR="00A47AD5" w14:paraId="5EE8A93F" w14:textId="77777777" w:rsidTr="00541AAE">
        <w:trPr>
          <w:trHeight w:val="212"/>
        </w:trPr>
        <w:tc>
          <w:tcPr>
            <w:tcW w:w="1791" w:type="dxa"/>
          </w:tcPr>
          <w:p w14:paraId="70A49D28" w14:textId="77777777" w:rsidR="00A47AD5" w:rsidRPr="00231A19" w:rsidRDefault="00A47AD5" w:rsidP="00A47AD5">
            <w:pPr>
              <w:rPr>
                <w:color w:val="000000"/>
                <w:lang w:val="pt-BR"/>
              </w:rPr>
            </w:pPr>
          </w:p>
        </w:tc>
        <w:tc>
          <w:tcPr>
            <w:tcW w:w="7141" w:type="dxa"/>
          </w:tcPr>
          <w:p w14:paraId="762E07A8" w14:textId="77777777" w:rsidR="00A47AD5" w:rsidRPr="00231A19" w:rsidRDefault="00A47AD5" w:rsidP="00A47AD5">
            <w:pPr>
              <w:jc w:val="both"/>
              <w:rPr>
                <w:color w:val="000000"/>
                <w:sz w:val="18"/>
                <w:szCs w:val="18"/>
              </w:rPr>
            </w:pPr>
          </w:p>
        </w:tc>
      </w:tr>
      <w:tr w:rsidR="00231A19" w14:paraId="6BCE5E2E" w14:textId="77777777" w:rsidTr="00541AAE">
        <w:trPr>
          <w:trHeight w:val="2064"/>
        </w:trPr>
        <w:tc>
          <w:tcPr>
            <w:tcW w:w="1791" w:type="dxa"/>
          </w:tcPr>
          <w:p w14:paraId="1EB1C169" w14:textId="1E1B62A3" w:rsidR="00231A19" w:rsidRPr="00231A19" w:rsidRDefault="00541AAE" w:rsidP="00A47AD5">
            <w:pPr>
              <w:rPr>
                <w:color w:val="000000"/>
                <w:lang w:val="pt-BR"/>
              </w:rPr>
            </w:pPr>
            <w:r>
              <w:rPr>
                <w:noProof/>
              </w:rPr>
              <w:drawing>
                <wp:anchor distT="0" distB="0" distL="114300" distR="114300" simplePos="0" relativeHeight="251661824" behindDoc="0" locked="0" layoutInCell="1" allowOverlap="1" wp14:anchorId="331A395D" wp14:editId="65815EA0">
                  <wp:simplePos x="0" y="0"/>
                  <wp:positionH relativeFrom="column">
                    <wp:posOffset>121920</wp:posOffset>
                  </wp:positionH>
                  <wp:positionV relativeFrom="paragraph">
                    <wp:posOffset>36195</wp:posOffset>
                  </wp:positionV>
                  <wp:extent cx="798195" cy="1137285"/>
                  <wp:effectExtent l="0" t="0" r="1905" b="5715"/>
                  <wp:wrapNone/>
                  <wp:docPr id="7" name="Picture 7" descr="Kedokteran News: Dikukuhkan Prof.Dr.dr.Noorhamdani,AS,DMM,SpM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dokteran News: Dikukuhkan Prof.Dr.dr.Noorhamdani,AS,DMM,SpMK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1137285"/>
                          </a:xfrm>
                          <a:prstGeom prst="rect">
                            <a:avLst/>
                          </a:prstGeom>
                          <a:noFill/>
                          <a:ln>
                            <a:noFill/>
                          </a:ln>
                        </pic:spPr>
                      </pic:pic>
                    </a:graphicData>
                  </a:graphic>
                </wp:anchor>
              </w:drawing>
            </w:r>
          </w:p>
          <w:p w14:paraId="04C3761D" w14:textId="70D5C4C1" w:rsidR="00231A19" w:rsidRPr="00231A19" w:rsidRDefault="00231A19" w:rsidP="00A47AD5">
            <w:pPr>
              <w:jc w:val="center"/>
              <w:rPr>
                <w:color w:val="000000"/>
                <w:lang w:val="pt-BR"/>
              </w:rPr>
            </w:pPr>
          </w:p>
          <w:p w14:paraId="5996EA16" w14:textId="19B7CE9F" w:rsidR="00231A19" w:rsidRPr="00231A19" w:rsidRDefault="00231A19" w:rsidP="00A47AD5">
            <w:pPr>
              <w:jc w:val="center"/>
              <w:rPr>
                <w:color w:val="000000"/>
                <w:lang w:val="pt-BR"/>
              </w:rPr>
            </w:pPr>
          </w:p>
        </w:tc>
        <w:tc>
          <w:tcPr>
            <w:tcW w:w="7141" w:type="dxa"/>
          </w:tcPr>
          <w:p w14:paraId="1958E08D" w14:textId="09BDC1E3" w:rsidR="00541AAE" w:rsidRPr="00541AAE" w:rsidRDefault="00541AAE" w:rsidP="00541AAE">
            <w:pPr>
              <w:jc w:val="both"/>
              <w:rPr>
                <w:color w:val="000000"/>
                <w:sz w:val="18"/>
                <w:szCs w:val="18"/>
              </w:rPr>
            </w:pPr>
            <w:r w:rsidRPr="00541AAE">
              <w:rPr>
                <w:color w:val="000000"/>
                <w:sz w:val="18"/>
                <w:szCs w:val="18"/>
                <w:lang w:val="en"/>
              </w:rPr>
              <w:t xml:space="preserve">Prof. Dr. dr. </w:t>
            </w:r>
            <w:proofErr w:type="spellStart"/>
            <w:r w:rsidRPr="00541AAE">
              <w:rPr>
                <w:color w:val="000000"/>
                <w:sz w:val="18"/>
                <w:szCs w:val="18"/>
                <w:lang w:val="en"/>
              </w:rPr>
              <w:t>Noorhamdani</w:t>
            </w:r>
            <w:proofErr w:type="spellEnd"/>
            <w:r w:rsidRPr="00541AAE">
              <w:rPr>
                <w:color w:val="000000"/>
                <w:sz w:val="18"/>
                <w:szCs w:val="18"/>
                <w:lang w:val="en"/>
              </w:rPr>
              <w:t xml:space="preserve"> AS, DMM, </w:t>
            </w:r>
            <w:proofErr w:type="spellStart"/>
            <w:r w:rsidRPr="00541AAE">
              <w:rPr>
                <w:color w:val="000000"/>
                <w:sz w:val="18"/>
                <w:szCs w:val="18"/>
                <w:lang w:val="en"/>
              </w:rPr>
              <w:t>SpMK</w:t>
            </w:r>
            <w:proofErr w:type="spellEnd"/>
            <w:r w:rsidRPr="00541AAE">
              <w:rPr>
                <w:color w:val="000000"/>
                <w:sz w:val="18"/>
                <w:szCs w:val="18"/>
                <w:lang w:val="en"/>
              </w:rPr>
              <w:t xml:space="preserve"> (K) </w:t>
            </w:r>
            <w:r>
              <w:rPr>
                <w:color w:val="000000"/>
                <w:sz w:val="18"/>
                <w:szCs w:val="18"/>
                <w:lang w:val="en"/>
              </w:rPr>
              <w:t xml:space="preserve">is </w:t>
            </w:r>
            <w:r w:rsidRPr="00541AAE">
              <w:rPr>
                <w:color w:val="000000"/>
                <w:sz w:val="18"/>
                <w:szCs w:val="18"/>
                <w:lang w:val="en"/>
              </w:rPr>
              <w:t xml:space="preserve">senior lecturers in the faculty of medicine, </w:t>
            </w:r>
            <w:proofErr w:type="spellStart"/>
            <w:r w:rsidRPr="00541AAE">
              <w:rPr>
                <w:color w:val="000000"/>
                <w:sz w:val="18"/>
                <w:szCs w:val="18"/>
                <w:lang w:val="en"/>
              </w:rPr>
              <w:t>Brawijaya</w:t>
            </w:r>
            <w:proofErr w:type="spellEnd"/>
            <w:r w:rsidRPr="00541AAE">
              <w:rPr>
                <w:color w:val="000000"/>
                <w:sz w:val="18"/>
                <w:szCs w:val="18"/>
                <w:lang w:val="en"/>
              </w:rPr>
              <w:t xml:space="preserve"> University. He has completed his medical education, specialist and doctoral program at the Faculty of Medicine, </w:t>
            </w:r>
            <w:proofErr w:type="spellStart"/>
            <w:r w:rsidRPr="00541AAE">
              <w:rPr>
                <w:color w:val="000000"/>
                <w:sz w:val="18"/>
                <w:szCs w:val="18"/>
                <w:lang w:val="en"/>
              </w:rPr>
              <w:t>Airlangga</w:t>
            </w:r>
            <w:proofErr w:type="spellEnd"/>
            <w:r w:rsidRPr="00541AAE">
              <w:rPr>
                <w:color w:val="000000"/>
                <w:sz w:val="18"/>
                <w:szCs w:val="18"/>
                <w:lang w:val="en"/>
              </w:rPr>
              <w:t xml:space="preserve"> University, Surabaya</w:t>
            </w:r>
          </w:p>
          <w:p w14:paraId="0D9F26A3" w14:textId="01AB4DA7" w:rsidR="00231A19" w:rsidRPr="00231A19" w:rsidRDefault="00231A19" w:rsidP="00A47AD5">
            <w:pPr>
              <w:jc w:val="both"/>
              <w:rPr>
                <w:color w:val="000000"/>
                <w:sz w:val="18"/>
                <w:szCs w:val="18"/>
              </w:rPr>
            </w:pPr>
          </w:p>
          <w:p w14:paraId="2D99EA1F" w14:textId="77777777" w:rsidR="00F33C08" w:rsidRPr="00231A19" w:rsidRDefault="00F33C08" w:rsidP="00A47AD5">
            <w:pPr>
              <w:rPr>
                <w:color w:val="000000"/>
                <w:lang w:val="pt-BR"/>
              </w:rPr>
            </w:pPr>
          </w:p>
          <w:p w14:paraId="04B775DE" w14:textId="77777777" w:rsidR="00F33C08" w:rsidRDefault="00F33C08" w:rsidP="00A47AD5">
            <w:pPr>
              <w:rPr>
                <w:color w:val="000000"/>
                <w:lang w:val="pt-BR"/>
              </w:rPr>
            </w:pPr>
          </w:p>
          <w:p w14:paraId="0D316785" w14:textId="77777777" w:rsidR="00A47AD5" w:rsidRDefault="00A47AD5" w:rsidP="00A47AD5">
            <w:pPr>
              <w:rPr>
                <w:color w:val="000000"/>
                <w:lang w:val="pt-BR"/>
              </w:rPr>
            </w:pPr>
          </w:p>
          <w:p w14:paraId="3B5D10B0" w14:textId="77777777" w:rsidR="00A47AD5" w:rsidRPr="00231A19" w:rsidRDefault="00A47AD5" w:rsidP="00A47AD5">
            <w:pPr>
              <w:rPr>
                <w:color w:val="000000"/>
                <w:lang w:val="pt-BR"/>
              </w:rPr>
            </w:pPr>
          </w:p>
          <w:p w14:paraId="7C5612B1" w14:textId="77777777" w:rsidR="00F33C08" w:rsidRPr="00231A19" w:rsidRDefault="00F33C08" w:rsidP="00A47AD5">
            <w:pPr>
              <w:rPr>
                <w:color w:val="000000"/>
                <w:lang w:val="pt-BR"/>
              </w:rPr>
            </w:pPr>
          </w:p>
          <w:p w14:paraId="0D17F994" w14:textId="77777777" w:rsidR="00231A19" w:rsidRPr="00231A19" w:rsidRDefault="00231A19" w:rsidP="00A47AD5">
            <w:pPr>
              <w:rPr>
                <w:color w:val="000000"/>
                <w:lang w:val="pt-BR"/>
              </w:rPr>
            </w:pPr>
          </w:p>
        </w:tc>
      </w:tr>
    </w:tbl>
    <w:p w14:paraId="67000C7C" w14:textId="7EA1BEA3" w:rsidR="00231A19" w:rsidRDefault="00231A19" w:rsidP="00231A19">
      <w:pPr>
        <w:jc w:val="both"/>
        <w:rPr>
          <w:color w:val="000000"/>
          <w:sz w:val="18"/>
          <w:szCs w:val="18"/>
        </w:rPr>
      </w:pPr>
    </w:p>
    <w:sectPr w:rsidR="00231A19" w:rsidSect="0085352C">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4B97A" w14:textId="77777777" w:rsidR="00523CCB" w:rsidRDefault="00523CCB">
      <w:r>
        <w:separator/>
      </w:r>
    </w:p>
  </w:endnote>
  <w:endnote w:type="continuationSeparator" w:id="0">
    <w:p w14:paraId="504FCC98" w14:textId="77777777" w:rsidR="00523CCB" w:rsidRDefault="0052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F7521" w14:textId="77777777" w:rsidR="00097958" w:rsidRPr="003D5B84" w:rsidRDefault="00050148" w:rsidP="00C07BEF">
    <w:pPr>
      <w:pStyle w:val="Header"/>
      <w:tabs>
        <w:tab w:val="clear" w:pos="4320"/>
        <w:tab w:val="clear" w:pos="8640"/>
        <w:tab w:val="left" w:pos="2992"/>
      </w:tabs>
      <w:spacing w:before="240"/>
    </w:pPr>
    <w:r>
      <w:rPr>
        <w:noProof/>
        <w:lang w:val="en-AU" w:eastAsia="en-AU"/>
      </w:rPr>
      <mc:AlternateContent>
        <mc:Choice Requires="wps">
          <w:drawing>
            <wp:anchor distT="0" distB="0" distL="114300" distR="114300" simplePos="0" relativeHeight="251659264" behindDoc="0" locked="0" layoutInCell="1" allowOverlap="1" wp14:anchorId="34FB2FD5" wp14:editId="2366CE8E">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9846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164D27" w:rsidRPr="00164D27">
      <w:t xml:space="preserve"> </w:t>
    </w:r>
    <w:r w:rsidR="00C2651C">
      <w:rPr>
        <w:noProof/>
      </w:rPr>
      <w:t>Int</w:t>
    </w:r>
    <w:r w:rsidR="007E6842">
      <w:rPr>
        <w:noProof/>
      </w:rPr>
      <w:t>.</w:t>
    </w:r>
    <w:r w:rsidR="00C2651C">
      <w:rPr>
        <w:noProof/>
      </w:rPr>
      <w:t xml:space="preserve"> J</w:t>
    </w:r>
    <w:r w:rsidR="007E6842">
      <w:rPr>
        <w:noProof/>
      </w:rPr>
      <w:t>.</w:t>
    </w:r>
    <w:r w:rsidR="00C2651C">
      <w:rPr>
        <w:noProof/>
      </w:rPr>
      <w:t xml:space="preserve"> Public Health Sci,</w:t>
    </w:r>
    <w:r w:rsidR="00164D27" w:rsidRPr="00164D27">
      <w:rPr>
        <w:noProof/>
      </w:rPr>
      <w:t xml:space="preserve"> Vol. x, No. x, March 20</w:t>
    </w:r>
    <w:r w:rsidR="00BD6CF8">
      <w:rPr>
        <w:noProof/>
      </w:rPr>
      <w:t>2</w:t>
    </w:r>
    <w:r w:rsidR="00513610">
      <w:rPr>
        <w:noProof/>
      </w:rPr>
      <w:t>0</w:t>
    </w:r>
    <w:r w:rsidR="00164D27" w:rsidRPr="00164D27">
      <w:rPr>
        <w:noProof/>
      </w:rPr>
      <w:t>: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9AF11" w14:textId="77777777"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81818" w14:textId="77777777" w:rsidR="00097958" w:rsidRPr="00164D27" w:rsidRDefault="00164D27" w:rsidP="00C07BEF">
    <w:pPr>
      <w:pStyle w:val="Footer"/>
      <w:pBdr>
        <w:top w:val="single" w:sz="4" w:space="1" w:color="auto"/>
      </w:pBdr>
      <w:spacing w:before="240"/>
      <w:rPr>
        <w:i/>
        <w:szCs w:val="18"/>
      </w:rPr>
    </w:pPr>
    <w:r w:rsidRPr="00164D27">
      <w:rPr>
        <w:i/>
        <w:szCs w:val="18"/>
      </w:rPr>
      <w:t xml:space="preserve">Journal homepage: </w:t>
    </w:r>
    <w:r w:rsidR="008B0265" w:rsidRPr="006E0B0C">
      <w:rPr>
        <w:i/>
        <w:lang w:val="id-ID"/>
      </w:rPr>
      <w:t>http://ijphs.iaescore.com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63F49" w14:textId="77777777" w:rsidR="00523CCB" w:rsidRDefault="00523CCB">
      <w:r>
        <w:separator/>
      </w:r>
    </w:p>
  </w:footnote>
  <w:footnote w:type="continuationSeparator" w:id="0">
    <w:p w14:paraId="667735D9" w14:textId="77777777" w:rsidR="00523CCB" w:rsidRDefault="0052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496F" w14:textId="77777777"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7E6842">
      <w:rPr>
        <w:rStyle w:val="PageNumber"/>
        <w:noProof/>
      </w:rPr>
      <w:t>102</w:t>
    </w:r>
    <w:r w:rsidRPr="003D5B84">
      <w:rPr>
        <w:rStyle w:val="PageNumber"/>
      </w:rPr>
      <w:fldChar w:fldCharType="end"/>
    </w:r>
  </w:p>
  <w:p w14:paraId="4992F94C" w14:textId="77777777" w:rsidR="00097958" w:rsidRPr="003D5B84" w:rsidRDefault="00050148" w:rsidP="00C07BEF">
    <w:pPr>
      <w:pStyle w:val="Header"/>
      <w:tabs>
        <w:tab w:val="clear" w:pos="4320"/>
        <w:tab w:val="clear" w:pos="8640"/>
        <w:tab w:val="right" w:pos="851"/>
        <w:tab w:val="left" w:pos="3405"/>
        <w:tab w:val="right" w:pos="8789"/>
      </w:tabs>
      <w:spacing w:after="240"/>
    </w:pPr>
    <w:r>
      <w:rPr>
        <w:noProof/>
        <w:lang w:val="en-AU" w:eastAsia="en-AU"/>
      </w:rPr>
      <mc:AlternateContent>
        <mc:Choice Requires="wps">
          <w:drawing>
            <wp:anchor distT="0" distB="0" distL="114300" distR="114300" simplePos="0" relativeHeight="251658240" behindDoc="0" locked="0" layoutInCell="1" allowOverlap="1" wp14:anchorId="6E514EDF" wp14:editId="404BBF6B">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2FC6B0"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164D27" w:rsidRPr="00164D27">
      <w:t xml:space="preserve">       ISSN: 2252-8806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10A55"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7E6842">
      <w:rPr>
        <w:rStyle w:val="PageNumber"/>
        <w:noProof/>
      </w:rPr>
      <w:t>103</w:t>
    </w:r>
    <w:r w:rsidRPr="003D5B84">
      <w:rPr>
        <w:rStyle w:val="PageNumber"/>
      </w:rPr>
      <w:fldChar w:fldCharType="end"/>
    </w:r>
  </w:p>
  <w:p w14:paraId="32462C22" w14:textId="77777777" w:rsidR="00097958" w:rsidRPr="003D5B84" w:rsidRDefault="00513610" w:rsidP="00C07BEF">
    <w:pPr>
      <w:pStyle w:val="Header"/>
      <w:pBdr>
        <w:bottom w:val="single" w:sz="4" w:space="1" w:color="auto"/>
      </w:pBdr>
      <w:tabs>
        <w:tab w:val="clear" w:pos="4320"/>
        <w:tab w:val="clear" w:pos="8640"/>
        <w:tab w:val="left" w:pos="0"/>
        <w:tab w:val="center" w:pos="4301"/>
        <w:tab w:val="left" w:pos="7938"/>
      </w:tabs>
    </w:pPr>
    <w:r>
      <w:rPr>
        <w:noProof/>
      </w:rPr>
      <w:t>Int</w:t>
    </w:r>
    <w:r w:rsidR="007E6842">
      <w:rPr>
        <w:noProof/>
      </w:rPr>
      <w:t>.</w:t>
    </w:r>
    <w:r>
      <w:rPr>
        <w:noProof/>
      </w:rPr>
      <w:t xml:space="preserve"> J</w:t>
    </w:r>
    <w:r w:rsidR="007E6842">
      <w:rPr>
        <w:noProof/>
      </w:rPr>
      <w:t>.</w:t>
    </w:r>
    <w:r>
      <w:rPr>
        <w:noProof/>
      </w:rPr>
      <w:t xml:space="preserve"> Public Health Sci</w:t>
    </w:r>
    <w:r w:rsidR="00097958" w:rsidRPr="003D5B84">
      <w:tab/>
    </w:r>
    <w:r w:rsidR="00164D27" w:rsidRPr="00164D27">
      <w:t>ISSN: 2252-8806</w:t>
    </w:r>
    <w:r w:rsidR="00EF1185" w:rsidRPr="003D5B84">
      <w:tab/>
    </w:r>
    <w:r w:rsidR="00C854C1">
      <w:sym w:font="Wingdings" w:char="F072"/>
    </w:r>
  </w:p>
  <w:p w14:paraId="4917D23E" w14:textId="77777777"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4CD47" w14:textId="0EAABC40" w:rsidR="00097958" w:rsidRPr="003D5B84" w:rsidRDefault="00097958" w:rsidP="008B04B3">
    <w:pPr>
      <w:pStyle w:val="Header"/>
      <w:tabs>
        <w:tab w:val="clear" w:pos="4320"/>
        <w:tab w:val="clear" w:pos="8640"/>
      </w:tabs>
      <w:ind w:right="45"/>
      <w:jc w:val="right"/>
      <w:rPr>
        <w:rStyle w:val="PageNumber"/>
      </w:rPr>
    </w:pP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206145"/>
    <w:multiLevelType w:val="hybridMultilevel"/>
    <w:tmpl w:val="9FA63910"/>
    <w:lvl w:ilvl="0" w:tplc="5E7C2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99F3703"/>
    <w:multiLevelType w:val="multilevel"/>
    <w:tmpl w:val="0B867786"/>
    <w:lvl w:ilvl="0">
      <w:start w:val="3"/>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multilevel"/>
    <w:tmpl w:val="AAA63764"/>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8"/>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7"/>
  </w:num>
  <w:num w:numId="1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MzS2tLQwMzC2MLFU0lEKTi0uzszPAykwqQUAhmabgywAAAA="/>
  </w:docVars>
  <w:rsids>
    <w:rsidRoot w:val="007D0AC6"/>
    <w:rsid w:val="000013CF"/>
    <w:rsid w:val="00002882"/>
    <w:rsid w:val="0000385F"/>
    <w:rsid w:val="00005EFC"/>
    <w:rsid w:val="00007744"/>
    <w:rsid w:val="000106D0"/>
    <w:rsid w:val="00012CEF"/>
    <w:rsid w:val="00014633"/>
    <w:rsid w:val="00015F2A"/>
    <w:rsid w:val="00017858"/>
    <w:rsid w:val="00022D47"/>
    <w:rsid w:val="00027142"/>
    <w:rsid w:val="000279BE"/>
    <w:rsid w:val="00034C84"/>
    <w:rsid w:val="0004033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4D27"/>
    <w:rsid w:val="00166432"/>
    <w:rsid w:val="00167012"/>
    <w:rsid w:val="001671A8"/>
    <w:rsid w:val="0016761A"/>
    <w:rsid w:val="00167BE2"/>
    <w:rsid w:val="0017130D"/>
    <w:rsid w:val="0017238E"/>
    <w:rsid w:val="00177E2C"/>
    <w:rsid w:val="00180992"/>
    <w:rsid w:val="00180FD2"/>
    <w:rsid w:val="00180FD4"/>
    <w:rsid w:val="00181509"/>
    <w:rsid w:val="00181965"/>
    <w:rsid w:val="00185202"/>
    <w:rsid w:val="0018696B"/>
    <w:rsid w:val="00187B69"/>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221A"/>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5791"/>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271F"/>
    <w:rsid w:val="003D5B84"/>
    <w:rsid w:val="003D79CF"/>
    <w:rsid w:val="003E0207"/>
    <w:rsid w:val="003E0E36"/>
    <w:rsid w:val="003E304D"/>
    <w:rsid w:val="003E4AA5"/>
    <w:rsid w:val="003F0964"/>
    <w:rsid w:val="003F18A1"/>
    <w:rsid w:val="003F1D93"/>
    <w:rsid w:val="003F2EB6"/>
    <w:rsid w:val="003F3F6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0"/>
    <w:rsid w:val="0051361F"/>
    <w:rsid w:val="00515455"/>
    <w:rsid w:val="005160A8"/>
    <w:rsid w:val="00516317"/>
    <w:rsid w:val="005174FF"/>
    <w:rsid w:val="00520EC3"/>
    <w:rsid w:val="0052138C"/>
    <w:rsid w:val="005213A1"/>
    <w:rsid w:val="00521EC1"/>
    <w:rsid w:val="00522A3A"/>
    <w:rsid w:val="00523362"/>
    <w:rsid w:val="00523B26"/>
    <w:rsid w:val="00523CCB"/>
    <w:rsid w:val="0052442F"/>
    <w:rsid w:val="00526CFA"/>
    <w:rsid w:val="00530415"/>
    <w:rsid w:val="00530CAF"/>
    <w:rsid w:val="0053172B"/>
    <w:rsid w:val="00532941"/>
    <w:rsid w:val="00534655"/>
    <w:rsid w:val="00535A39"/>
    <w:rsid w:val="005373E3"/>
    <w:rsid w:val="00540DCE"/>
    <w:rsid w:val="00540DD7"/>
    <w:rsid w:val="00541AAE"/>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2DFA"/>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0B0C"/>
    <w:rsid w:val="006E361D"/>
    <w:rsid w:val="006E3810"/>
    <w:rsid w:val="006E44B1"/>
    <w:rsid w:val="006E492E"/>
    <w:rsid w:val="006E4C9D"/>
    <w:rsid w:val="006E4F7B"/>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3769F"/>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5812"/>
    <w:rsid w:val="007E684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265"/>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5FF"/>
    <w:rsid w:val="00921D05"/>
    <w:rsid w:val="0092257C"/>
    <w:rsid w:val="00923121"/>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738"/>
    <w:rsid w:val="00A85A64"/>
    <w:rsid w:val="00A93118"/>
    <w:rsid w:val="00A94C5E"/>
    <w:rsid w:val="00A94D60"/>
    <w:rsid w:val="00A96931"/>
    <w:rsid w:val="00AA2F2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5F1D"/>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5488"/>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CF8"/>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5F60"/>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2651C"/>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4EDA"/>
    <w:rsid w:val="00C954B5"/>
    <w:rsid w:val="00C9655A"/>
    <w:rsid w:val="00C96FCA"/>
    <w:rsid w:val="00C9754D"/>
    <w:rsid w:val="00C975DF"/>
    <w:rsid w:val="00CA5D84"/>
    <w:rsid w:val="00CC1960"/>
    <w:rsid w:val="00CD4F70"/>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6B5C"/>
    <w:rsid w:val="00DB05EC"/>
    <w:rsid w:val="00DB166E"/>
    <w:rsid w:val="00DB3D8C"/>
    <w:rsid w:val="00DB3E4C"/>
    <w:rsid w:val="00DB43B8"/>
    <w:rsid w:val="00DB60A5"/>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0D8"/>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865"/>
    <w:rsid w:val="00EB1B47"/>
    <w:rsid w:val="00EB46E1"/>
    <w:rsid w:val="00EB7BD6"/>
    <w:rsid w:val="00EC20FD"/>
    <w:rsid w:val="00EC2EF8"/>
    <w:rsid w:val="00EC3DAC"/>
    <w:rsid w:val="00EC42FF"/>
    <w:rsid w:val="00EC5A73"/>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1ABB"/>
    <w:rsid w:val="00F83035"/>
    <w:rsid w:val="00F866B0"/>
    <w:rsid w:val="00F869EF"/>
    <w:rsid w:val="00F86BE4"/>
    <w:rsid w:val="00F86C7B"/>
    <w:rsid w:val="00F86D61"/>
    <w:rsid w:val="00F905B6"/>
    <w:rsid w:val="00F90B31"/>
    <w:rsid w:val="00F914B2"/>
    <w:rsid w:val="00F926B9"/>
    <w:rsid w:val="00F9541D"/>
    <w:rsid w:val="00FA0403"/>
    <w:rsid w:val="00FA0CE6"/>
    <w:rsid w:val="00FA198E"/>
    <w:rsid w:val="00FA35FB"/>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CD5D0"/>
  <w15:docId w15:val="{D887DD82-A2B3-4886-96AA-5AEF00F8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TableGrid1">
    <w:name w:val="Table Grid1"/>
    <w:basedOn w:val="TableNormal"/>
    <w:next w:val="TableGrid"/>
    <w:uiPriority w:val="39"/>
    <w:rsid w:val="00541A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0334"/>
    <w:rPr>
      <w:color w:val="605E5C"/>
      <w:shd w:val="clear" w:color="auto" w:fill="E1DFDD"/>
    </w:rPr>
  </w:style>
  <w:style w:type="character" w:styleId="CommentReference">
    <w:name w:val="annotation reference"/>
    <w:basedOn w:val="DefaultParagraphFont"/>
    <w:uiPriority w:val="99"/>
    <w:semiHidden/>
    <w:unhideWhenUsed/>
    <w:rsid w:val="00A85738"/>
    <w:rPr>
      <w:sz w:val="16"/>
      <w:szCs w:val="16"/>
    </w:rPr>
  </w:style>
  <w:style w:type="paragraph" w:styleId="CommentText">
    <w:name w:val="annotation text"/>
    <w:basedOn w:val="Normal"/>
    <w:link w:val="CommentTextChar"/>
    <w:uiPriority w:val="99"/>
    <w:semiHidden/>
    <w:unhideWhenUsed/>
    <w:rsid w:val="00A85738"/>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85738"/>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9200310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03072542">
      <w:bodyDiv w:val="1"/>
      <w:marLeft w:val="0"/>
      <w:marRight w:val="0"/>
      <w:marTop w:val="0"/>
      <w:marBottom w:val="0"/>
      <w:divBdr>
        <w:top w:val="none" w:sz="0" w:space="0" w:color="auto"/>
        <w:left w:val="none" w:sz="0" w:space="0" w:color="auto"/>
        <w:bottom w:val="none" w:sz="0" w:space="0" w:color="auto"/>
        <w:right w:val="none" w:sz="0" w:space="0" w:color="auto"/>
      </w:divBdr>
    </w:div>
    <w:div w:id="131229636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64735724">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2567-1B05-479B-A21C-C941DA3A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7</Pages>
  <Words>14143</Words>
  <Characters>80620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IJPHS</vt:lpstr>
    </vt:vector>
  </TitlesOfParts>
  <Company>cairo</Company>
  <LinksUpToDate>false</LinksUpToDate>
  <CharactersWithSpaces>94574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IJPHS</dc:title>
  <dc:creator>Sanjaya Putra</dc:creator>
  <cp:lastModifiedBy>Sanjaya Putra</cp:lastModifiedBy>
  <cp:revision>10</cp:revision>
  <cp:lastPrinted>2019-03-21T07:47:00Z</cp:lastPrinted>
  <dcterms:created xsi:type="dcterms:W3CDTF">2020-06-07T04:04:00Z</dcterms:created>
  <dcterms:modified xsi:type="dcterms:W3CDTF">2020-06-10T02:49:00Z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8ee6b279-7368-3df2-83bf-cfff50c0192d</vt:lpwstr>
  </property>
  <property fmtid="{D5CDD505-2E9C-101B-9397-08002B2CF9AE}" pid="24" name="Mendeley Citation Style_1">
    <vt:lpwstr>http://www.zotero.org/styles/ieee</vt:lpwstr>
  </property>
</Properties>
</file>