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B74F60" w:rsidRDefault="00B74F60" w:rsidP="00B74F60">
      <w:pPr>
        <w:pStyle w:val="Title"/>
        <w:rPr>
          <w:sz w:val="32"/>
          <w:szCs w:val="32"/>
          <w:lang w:val="en-US"/>
        </w:rPr>
      </w:pPr>
      <w:r>
        <w:rPr>
          <w:sz w:val="32"/>
          <w:szCs w:val="32"/>
        </w:rPr>
        <w:t xml:space="preserve">Age, </w:t>
      </w:r>
      <w:r>
        <w:rPr>
          <w:sz w:val="32"/>
          <w:szCs w:val="32"/>
          <w:lang w:val="en-US"/>
        </w:rPr>
        <w:t>Intellectual Functions</w:t>
      </w:r>
      <w:r w:rsidR="0047527B">
        <w:rPr>
          <w:sz w:val="32"/>
          <w:szCs w:val="32"/>
        </w:rPr>
        <w:t xml:space="preserve"> and </w:t>
      </w:r>
      <w:r w:rsidR="0047527B">
        <w:rPr>
          <w:sz w:val="32"/>
          <w:szCs w:val="32"/>
          <w:lang w:val="en-US"/>
        </w:rPr>
        <w:t>A</w:t>
      </w:r>
      <w:r w:rsidR="0047527B">
        <w:rPr>
          <w:sz w:val="32"/>
          <w:szCs w:val="32"/>
        </w:rPr>
        <w:t xml:space="preserve">ctivity </w:t>
      </w:r>
      <w:r w:rsidR="0047527B">
        <w:rPr>
          <w:sz w:val="32"/>
          <w:szCs w:val="32"/>
          <w:lang w:val="en-US"/>
        </w:rPr>
        <w:t>C</w:t>
      </w:r>
      <w:r w:rsidR="0047527B">
        <w:rPr>
          <w:sz w:val="32"/>
          <w:szCs w:val="32"/>
        </w:rPr>
        <w:t xml:space="preserve">ontributions to </w:t>
      </w:r>
      <w:r w:rsidR="0047527B">
        <w:rPr>
          <w:sz w:val="32"/>
          <w:szCs w:val="32"/>
          <w:lang w:val="en-US"/>
        </w:rPr>
        <w:t>E</w:t>
      </w:r>
      <w:r w:rsidR="0047527B">
        <w:rPr>
          <w:sz w:val="32"/>
          <w:szCs w:val="32"/>
        </w:rPr>
        <w:t xml:space="preserve">lderly </w:t>
      </w:r>
      <w:r w:rsidR="0047527B">
        <w:rPr>
          <w:sz w:val="32"/>
          <w:szCs w:val="32"/>
          <w:lang w:val="en-US"/>
        </w:rPr>
        <w:t>N</w:t>
      </w:r>
      <w:r w:rsidR="0047527B" w:rsidRPr="0047527B">
        <w:rPr>
          <w:sz w:val="32"/>
          <w:szCs w:val="32"/>
        </w:rPr>
        <w:t>utritional Status</w:t>
      </w:r>
    </w:p>
    <w:p w:rsidR="00250A66" w:rsidRPr="003D5B84" w:rsidRDefault="00250A66" w:rsidP="00C83DCB">
      <w:pPr>
        <w:rPr>
          <w:b/>
          <w:bCs/>
        </w:rPr>
      </w:pPr>
    </w:p>
    <w:p w:rsidR="00904D6D" w:rsidRPr="00D74C5F" w:rsidRDefault="0047527B" w:rsidP="00904D6D">
      <w:pPr>
        <w:jc w:val="center"/>
        <w:rPr>
          <w:b/>
          <w:bCs/>
        </w:rPr>
      </w:pPr>
      <w:r>
        <w:rPr>
          <w:b/>
          <w:bCs/>
        </w:rPr>
        <w:t>Isnani Nurhayati</w:t>
      </w:r>
      <w:r w:rsidR="00E2599A">
        <w:rPr>
          <w:b/>
          <w:bCs/>
        </w:rPr>
        <w:t>*</w:t>
      </w:r>
      <w:r>
        <w:rPr>
          <w:b/>
          <w:bCs/>
          <w:lang w:val="id-ID"/>
        </w:rPr>
        <w:t xml:space="preserve">, </w:t>
      </w:r>
      <w:r>
        <w:rPr>
          <w:b/>
          <w:bCs/>
        </w:rPr>
        <w:t>Anas Rahmad Hiadayat</w:t>
      </w:r>
      <w:r w:rsidR="00E2599A">
        <w:rPr>
          <w:b/>
          <w:bCs/>
        </w:rPr>
        <w:t>**</w:t>
      </w:r>
      <w:r>
        <w:rPr>
          <w:b/>
          <w:bCs/>
          <w:lang w:val="id-ID"/>
        </w:rPr>
        <w:t xml:space="preserve">, </w:t>
      </w:r>
      <w:r w:rsidR="00E2599A">
        <w:rPr>
          <w:b/>
          <w:bCs/>
        </w:rPr>
        <w:t>*</w:t>
      </w:r>
      <w:r w:rsidR="00495283">
        <w:rPr>
          <w:b/>
          <w:bCs/>
        </w:rPr>
        <w:t xml:space="preserve"> </w:t>
      </w:r>
    </w:p>
    <w:p w:rsidR="00A17296" w:rsidRDefault="00E2599A" w:rsidP="00E2599A">
      <w:pPr>
        <w:jc w:val="center"/>
        <w:rPr>
          <w:sz w:val="18"/>
          <w:szCs w:val="18"/>
        </w:rPr>
      </w:pPr>
      <w:r>
        <w:rPr>
          <w:sz w:val="18"/>
          <w:szCs w:val="18"/>
        </w:rPr>
        <w:t xml:space="preserve">* </w:t>
      </w:r>
      <w:r w:rsidR="00D21636">
        <w:rPr>
          <w:sz w:val="18"/>
          <w:szCs w:val="18"/>
        </w:rPr>
        <w:t>Departemen of</w:t>
      </w:r>
      <w:r w:rsidR="0047527B">
        <w:rPr>
          <w:sz w:val="18"/>
          <w:szCs w:val="18"/>
        </w:rPr>
        <w:t xml:space="preserve"> Nursing</w:t>
      </w:r>
      <w:r w:rsidR="00D21636">
        <w:rPr>
          <w:sz w:val="18"/>
          <w:szCs w:val="18"/>
        </w:rPr>
        <w:t xml:space="preserve"> Academi</w:t>
      </w:r>
      <w:r w:rsidRPr="00E2599A">
        <w:rPr>
          <w:sz w:val="18"/>
          <w:szCs w:val="18"/>
        </w:rPr>
        <w:t>,</w:t>
      </w:r>
      <w:r>
        <w:rPr>
          <w:sz w:val="18"/>
          <w:szCs w:val="18"/>
        </w:rPr>
        <w:t xml:space="preserve"> </w:t>
      </w:r>
      <w:r w:rsidR="00D21636">
        <w:rPr>
          <w:sz w:val="18"/>
          <w:szCs w:val="18"/>
        </w:rPr>
        <w:t>STIKES Mamba’ul ‘Ulum Surakarta</w:t>
      </w:r>
      <w:r w:rsidR="008479F1">
        <w:rPr>
          <w:sz w:val="18"/>
          <w:szCs w:val="18"/>
        </w:rPr>
        <w:t xml:space="preserve"> </w:t>
      </w:r>
    </w:p>
    <w:p w:rsidR="00904D6D" w:rsidRPr="006D3802" w:rsidRDefault="00E2599A" w:rsidP="00E2599A">
      <w:pPr>
        <w:jc w:val="center"/>
        <w:rPr>
          <w:sz w:val="18"/>
          <w:szCs w:val="18"/>
        </w:rPr>
      </w:pPr>
      <w:r w:rsidRPr="006D3802">
        <w:rPr>
          <w:sz w:val="18"/>
          <w:szCs w:val="18"/>
        </w:rPr>
        <w:t xml:space="preserve">** Departement of </w:t>
      </w:r>
      <w:r w:rsidR="00D21636" w:rsidRPr="006D3802">
        <w:rPr>
          <w:sz w:val="18"/>
          <w:szCs w:val="18"/>
        </w:rPr>
        <w:t xml:space="preserve"> Midwifery Academi</w:t>
      </w:r>
      <w:r w:rsidRPr="006D3802">
        <w:rPr>
          <w:sz w:val="18"/>
          <w:szCs w:val="18"/>
        </w:rPr>
        <w:t xml:space="preserve">, </w:t>
      </w:r>
      <w:r w:rsidR="00D21636" w:rsidRPr="006D3802">
        <w:rPr>
          <w:sz w:val="18"/>
          <w:szCs w:val="18"/>
        </w:rPr>
        <w:t>POLTEKES Permata Indonesia Jogjakarta</w:t>
      </w:r>
      <w:r w:rsidR="008479F1" w:rsidRPr="006D3802">
        <w:rPr>
          <w:sz w:val="18"/>
          <w:szCs w:val="18"/>
        </w:rPr>
        <w:t xml:space="preserve"> </w:t>
      </w:r>
    </w:p>
    <w:p w:rsidR="00C07BEF" w:rsidRDefault="00C07BEF" w:rsidP="00787468"/>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6D3802" w:rsidRDefault="00941203" w:rsidP="00941203">
            <w:pPr>
              <w:spacing w:before="120" w:after="120"/>
              <w:jc w:val="both"/>
              <w:rPr>
                <w:b/>
                <w:i/>
              </w:rPr>
            </w:pPr>
            <w:r w:rsidRPr="006D3802">
              <w:rPr>
                <w:b/>
                <w:i/>
              </w:rPr>
              <w:t>Article history:</w:t>
            </w:r>
          </w:p>
          <w:p w:rsidR="00941203" w:rsidRPr="006D3802" w:rsidRDefault="00941203" w:rsidP="00957C11">
            <w:pPr>
              <w:jc w:val="both"/>
            </w:pPr>
            <w:r w:rsidRPr="006D3802">
              <w:t>Received Jun 12</w:t>
            </w:r>
            <w:r w:rsidRPr="006D3802">
              <w:rPr>
                <w:vertAlign w:val="superscript"/>
              </w:rPr>
              <w:t>th</w:t>
            </w:r>
            <w:r w:rsidRPr="006D3802">
              <w:t>, 201x</w:t>
            </w:r>
          </w:p>
          <w:p w:rsidR="00941203" w:rsidRPr="006D3802" w:rsidRDefault="00941203" w:rsidP="00957C11">
            <w:pPr>
              <w:jc w:val="both"/>
            </w:pPr>
            <w:r w:rsidRPr="006D3802">
              <w:t>Revised Aug 20</w:t>
            </w:r>
            <w:r w:rsidRPr="006D3802">
              <w:rPr>
                <w:vertAlign w:val="superscript"/>
              </w:rPr>
              <w:t>th</w:t>
            </w:r>
            <w:r w:rsidRPr="006D3802">
              <w:t>, 201x</w:t>
            </w:r>
          </w:p>
          <w:p w:rsidR="00941203" w:rsidRPr="006D3802" w:rsidRDefault="00941203" w:rsidP="00957C11">
            <w:pPr>
              <w:jc w:val="both"/>
            </w:pPr>
            <w:r w:rsidRPr="006D3802">
              <w:t>Accepted Aug 26</w:t>
            </w:r>
            <w:r w:rsidRPr="006D3802">
              <w:rPr>
                <w:vertAlign w:val="superscript"/>
              </w:rPr>
              <w:t>th</w:t>
            </w:r>
            <w:r w:rsidRPr="006D3802">
              <w:t>, 201x</w:t>
            </w:r>
          </w:p>
          <w:p w:rsidR="00941203" w:rsidRPr="00D21636" w:rsidRDefault="00941203" w:rsidP="00941203">
            <w:pPr>
              <w:jc w:val="both"/>
              <w:rPr>
                <w:color w:val="FF0000"/>
              </w:rPr>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495283" w:rsidRDefault="00FE155D" w:rsidP="00FE155D">
            <w:pPr>
              <w:spacing w:before="120"/>
              <w:jc w:val="both"/>
              <w:rPr>
                <w:iCs/>
                <w:color w:val="000000"/>
                <w:sz w:val="18"/>
                <w:szCs w:val="18"/>
              </w:rPr>
            </w:pPr>
            <w:r w:rsidRPr="00495283">
              <w:rPr>
                <w:iCs/>
                <w:color w:val="000000"/>
                <w:sz w:val="18"/>
                <w:szCs w:val="18"/>
              </w:rPr>
              <w:t>Everyone has a need for life, the elderly have the same needs in order to live prosperous. Elderly needs include nutritious meals, health screening, decent livi</w:t>
            </w:r>
            <w:r w:rsidR="00B74F60" w:rsidRPr="00495283">
              <w:rPr>
                <w:iCs/>
                <w:color w:val="000000"/>
                <w:sz w:val="18"/>
                <w:szCs w:val="18"/>
              </w:rPr>
              <w:t>ng, social needs in their intellectual functions</w:t>
            </w:r>
            <w:r w:rsidRPr="00495283">
              <w:rPr>
                <w:iCs/>
                <w:color w:val="000000"/>
                <w:sz w:val="18"/>
                <w:szCs w:val="18"/>
              </w:rPr>
              <w:t xml:space="preserve"> health conditions. In order to support the nutritional needs of</w:t>
            </w:r>
            <w:r w:rsidR="00B74F60" w:rsidRPr="00495283">
              <w:rPr>
                <w:iCs/>
                <w:color w:val="000000"/>
                <w:sz w:val="18"/>
                <w:szCs w:val="18"/>
              </w:rPr>
              <w:t xml:space="preserve"> good intelectula function</w:t>
            </w:r>
            <w:r w:rsidRPr="00495283">
              <w:rPr>
                <w:iCs/>
                <w:color w:val="000000"/>
                <w:sz w:val="18"/>
                <w:szCs w:val="18"/>
              </w:rPr>
              <w:t xml:space="preserve"> condition, it can conduct a day activity and not depend on family or others. Objectives of knowing how </w:t>
            </w:r>
            <w:r w:rsidR="00B74F60" w:rsidRPr="00495283">
              <w:rPr>
                <w:iCs/>
                <w:color w:val="000000"/>
                <w:sz w:val="18"/>
                <w:szCs w:val="18"/>
              </w:rPr>
              <w:t>much contribution to age, intellectual functions</w:t>
            </w:r>
            <w:r w:rsidRPr="00495283">
              <w:rPr>
                <w:iCs/>
                <w:color w:val="000000"/>
                <w:sz w:val="18"/>
                <w:szCs w:val="18"/>
              </w:rPr>
              <w:t xml:space="preserve"> and activity to elderly nutritional status</w:t>
            </w:r>
            <w:r w:rsidR="00495283">
              <w:rPr>
                <w:iCs/>
                <w:color w:val="000000"/>
                <w:sz w:val="18"/>
                <w:szCs w:val="18"/>
              </w:rPr>
              <w:t>. Method</w:t>
            </w:r>
            <w:r w:rsidRPr="00495283">
              <w:rPr>
                <w:iCs/>
                <w:color w:val="000000"/>
                <w:sz w:val="18"/>
                <w:szCs w:val="18"/>
              </w:rPr>
              <w:t xml:space="preserve"> This type of research is quantitative with a cross sectional approach, determination of sampling with purposive random sampling, 70 respondents. Self-reliance level assessments use the Activity of Daily</w:t>
            </w:r>
            <w:r w:rsidR="00C83DCB">
              <w:rPr>
                <w:iCs/>
                <w:color w:val="000000"/>
                <w:sz w:val="18"/>
                <w:szCs w:val="18"/>
              </w:rPr>
              <w:t xml:space="preserve"> Living</w:t>
            </w:r>
            <w:r w:rsidR="00B74F60" w:rsidRPr="00495283">
              <w:rPr>
                <w:iCs/>
                <w:color w:val="000000"/>
                <w:sz w:val="18"/>
                <w:szCs w:val="18"/>
              </w:rPr>
              <w:t>. Its intellectual functions</w:t>
            </w:r>
            <w:r w:rsidRPr="00495283">
              <w:rPr>
                <w:iCs/>
                <w:color w:val="000000"/>
                <w:sz w:val="18"/>
                <w:szCs w:val="18"/>
              </w:rPr>
              <w:t xml:space="preserve"> uses Short Portable Mental Status Quesioner and nutritional sta</w:t>
            </w:r>
            <w:r w:rsidR="00C83DCB">
              <w:rPr>
                <w:iCs/>
                <w:color w:val="000000"/>
                <w:sz w:val="18"/>
                <w:szCs w:val="18"/>
              </w:rPr>
              <w:t>tus with the Body Mass I</w:t>
            </w:r>
            <w:r w:rsidRPr="00495283">
              <w:rPr>
                <w:iCs/>
                <w:color w:val="000000"/>
                <w:sz w:val="18"/>
                <w:szCs w:val="18"/>
              </w:rPr>
              <w:t>ndex. Dat</w:t>
            </w:r>
            <w:r w:rsidR="00C83DCB">
              <w:rPr>
                <w:iCs/>
                <w:color w:val="000000"/>
                <w:sz w:val="18"/>
                <w:szCs w:val="18"/>
              </w:rPr>
              <w:t>a analysis using Path Analysis</w:t>
            </w:r>
            <w:r w:rsidRPr="00495283">
              <w:rPr>
                <w:iCs/>
                <w:color w:val="000000"/>
                <w:sz w:val="18"/>
                <w:szCs w:val="18"/>
              </w:rPr>
              <w:t xml:space="preserve"> with linear regre</w:t>
            </w:r>
            <w:r w:rsidR="00C83DCB">
              <w:rPr>
                <w:iCs/>
                <w:color w:val="000000"/>
                <w:sz w:val="18"/>
                <w:szCs w:val="18"/>
              </w:rPr>
              <w:t>ssion rate of significance is 0,05</w:t>
            </w:r>
            <w:r w:rsidRPr="00495283">
              <w:rPr>
                <w:iCs/>
                <w:color w:val="000000"/>
                <w:sz w:val="18"/>
                <w:szCs w:val="18"/>
              </w:rPr>
              <w:t>.</w:t>
            </w:r>
            <w:r w:rsidR="00495283">
              <w:rPr>
                <w:iCs/>
                <w:color w:val="000000"/>
                <w:sz w:val="18"/>
                <w:szCs w:val="18"/>
              </w:rPr>
              <w:t xml:space="preserve"> </w:t>
            </w:r>
            <w:r w:rsidRPr="00495283">
              <w:rPr>
                <w:iCs/>
                <w:color w:val="000000"/>
                <w:sz w:val="18"/>
                <w:szCs w:val="18"/>
              </w:rPr>
              <w:t xml:space="preserve">The results of </w:t>
            </w:r>
            <w:r w:rsidR="00B74F60" w:rsidRPr="00495283">
              <w:rPr>
                <w:iCs/>
                <w:color w:val="000000"/>
                <w:sz w:val="18"/>
                <w:szCs w:val="18"/>
              </w:rPr>
              <w:t>contributions to the age, intellectual functions</w:t>
            </w:r>
            <w:r w:rsidRPr="00495283">
              <w:rPr>
                <w:iCs/>
                <w:color w:val="000000"/>
                <w:sz w:val="18"/>
                <w:szCs w:val="18"/>
              </w:rPr>
              <w:t xml:space="preserve"> and simultaneous activities that directly affect the nutritional status of R</w:t>
            </w:r>
            <w:r w:rsidRPr="00C83DCB">
              <w:rPr>
                <w:iCs/>
                <w:color w:val="000000"/>
                <w:sz w:val="18"/>
                <w:szCs w:val="18"/>
                <w:vertAlign w:val="superscript"/>
              </w:rPr>
              <w:t>2</w:t>
            </w:r>
            <w:r w:rsidRPr="00C83DCB">
              <w:rPr>
                <w:iCs/>
                <w:color w:val="000000"/>
                <w:sz w:val="18"/>
                <w:szCs w:val="18"/>
                <w:vertAlign w:val="subscript"/>
              </w:rPr>
              <w:t>square</w:t>
            </w:r>
            <w:r w:rsidRPr="00495283">
              <w:rPr>
                <w:iCs/>
                <w:color w:val="000000"/>
                <w:sz w:val="18"/>
                <w:szCs w:val="18"/>
              </w:rPr>
              <w:t xml:space="preserve"> = 0.821 = 0.674 or 67% while the remaining 33% are contributed from other variables. The amoun</w:t>
            </w:r>
            <w:r w:rsidR="00B74F60" w:rsidRPr="00495283">
              <w:rPr>
                <w:iCs/>
                <w:color w:val="000000"/>
                <w:sz w:val="18"/>
                <w:szCs w:val="18"/>
              </w:rPr>
              <w:t>t of simultaneous age and intel</w:t>
            </w:r>
            <w:r w:rsidR="00304A60" w:rsidRPr="00495283">
              <w:rPr>
                <w:iCs/>
                <w:color w:val="000000"/>
                <w:sz w:val="18"/>
                <w:szCs w:val="18"/>
              </w:rPr>
              <w:t>l</w:t>
            </w:r>
            <w:r w:rsidR="00B74F60" w:rsidRPr="00495283">
              <w:rPr>
                <w:iCs/>
                <w:color w:val="000000"/>
                <w:sz w:val="18"/>
                <w:szCs w:val="18"/>
              </w:rPr>
              <w:t>ectual</w:t>
            </w:r>
            <w:r w:rsidRPr="00495283">
              <w:rPr>
                <w:iCs/>
                <w:color w:val="000000"/>
                <w:sz w:val="18"/>
                <w:szCs w:val="18"/>
              </w:rPr>
              <w:t xml:space="preserve"> </w:t>
            </w:r>
            <w:r w:rsidR="00304A60" w:rsidRPr="00495283">
              <w:rPr>
                <w:iCs/>
                <w:color w:val="000000"/>
                <w:sz w:val="18"/>
                <w:szCs w:val="18"/>
              </w:rPr>
              <w:t xml:space="preserve">functions </w:t>
            </w:r>
            <w:r w:rsidRPr="00495283">
              <w:rPr>
                <w:iCs/>
                <w:color w:val="000000"/>
                <w:sz w:val="18"/>
                <w:szCs w:val="18"/>
              </w:rPr>
              <w:t>contributions that directly affect elderly activities is R</w:t>
            </w:r>
            <w:r w:rsidRPr="00C83DCB">
              <w:rPr>
                <w:iCs/>
                <w:color w:val="000000"/>
                <w:sz w:val="18"/>
                <w:szCs w:val="18"/>
                <w:vertAlign w:val="superscript"/>
              </w:rPr>
              <w:t>2</w:t>
            </w:r>
            <w:r w:rsidRPr="00495283">
              <w:rPr>
                <w:iCs/>
                <w:color w:val="000000"/>
                <w:sz w:val="18"/>
                <w:szCs w:val="18"/>
              </w:rPr>
              <w:t xml:space="preserve"> </w:t>
            </w:r>
            <w:r w:rsidRPr="00C83DCB">
              <w:rPr>
                <w:iCs/>
                <w:color w:val="000000"/>
                <w:sz w:val="18"/>
                <w:szCs w:val="18"/>
                <w:vertAlign w:val="subscript"/>
              </w:rPr>
              <w:t>square</w:t>
            </w:r>
            <w:r w:rsidRPr="00495283">
              <w:rPr>
                <w:iCs/>
                <w:color w:val="000000"/>
                <w:sz w:val="18"/>
                <w:szCs w:val="18"/>
              </w:rPr>
              <w:t xml:space="preserve"> = 0.0327 or 3.27%, the remaining 96.73% is influenced by other factors.</w:t>
            </w:r>
            <w:r w:rsidR="00495283">
              <w:rPr>
                <w:iCs/>
                <w:color w:val="000000"/>
                <w:sz w:val="18"/>
                <w:szCs w:val="18"/>
              </w:rPr>
              <w:t xml:space="preserve"> </w:t>
            </w:r>
            <w:r w:rsidRPr="00495283">
              <w:rPr>
                <w:iCs/>
                <w:color w:val="000000"/>
                <w:sz w:val="18"/>
                <w:szCs w:val="18"/>
              </w:rPr>
              <w:t>Conclusion. Indirect contributions of age through activity to the status of elderly nutrition and there is direc</w:t>
            </w:r>
            <w:r w:rsidR="00304A60" w:rsidRPr="00495283">
              <w:rPr>
                <w:iCs/>
                <w:color w:val="000000"/>
                <w:sz w:val="18"/>
                <w:szCs w:val="18"/>
              </w:rPr>
              <w:t>t contribution of elderly intellectual functions</w:t>
            </w:r>
            <w:r w:rsidRPr="00495283">
              <w:rPr>
                <w:iCs/>
                <w:color w:val="000000"/>
                <w:sz w:val="18"/>
                <w:szCs w:val="18"/>
              </w:rPr>
              <w:t xml:space="preserve"> condition through activity to the status of elderly nutrition.</w:t>
            </w:r>
            <w:r w:rsidRPr="00FE155D">
              <w:rPr>
                <w:iCs/>
                <w:color w:val="000000"/>
                <w:sz w:val="18"/>
                <w:szCs w:val="18"/>
              </w:rPr>
              <w:t xml:space="preserve"> </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D21636" w:rsidP="00941203">
            <w:pPr>
              <w:jc w:val="both"/>
            </w:pPr>
            <w:r>
              <w:t>Age</w:t>
            </w:r>
          </w:p>
          <w:p w:rsidR="00941203" w:rsidRDefault="00C83DCB" w:rsidP="00941203">
            <w:pPr>
              <w:jc w:val="both"/>
            </w:pPr>
            <w:r>
              <w:t>Intellectual</w:t>
            </w:r>
          </w:p>
          <w:p w:rsidR="00941203" w:rsidRDefault="00D21636" w:rsidP="00941203">
            <w:pPr>
              <w:jc w:val="both"/>
            </w:pPr>
            <w:r>
              <w:t>Activity</w:t>
            </w:r>
          </w:p>
          <w:p w:rsidR="00941203" w:rsidRDefault="00D21636" w:rsidP="00941203">
            <w:pPr>
              <w:jc w:val="both"/>
            </w:pPr>
            <w:r>
              <w:t>Nutritional</w:t>
            </w:r>
          </w:p>
          <w:p w:rsidR="00941203" w:rsidRPr="007F286F" w:rsidRDefault="00D21636" w:rsidP="00941203">
            <w:pPr>
              <w:jc w:val="both"/>
              <w:rPr>
                <w:b/>
                <w:i/>
              </w:rPr>
            </w:pPr>
            <w:r>
              <w:t>Status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F286F" w:rsidP="007F286F">
            <w:r>
              <w:t xml:space="preserve">Third Author, </w:t>
            </w:r>
          </w:p>
          <w:p w:rsidR="007F286F" w:rsidRDefault="00FE155D" w:rsidP="007F286F">
            <w:r>
              <w:t>Nursing Academi</w:t>
            </w:r>
          </w:p>
          <w:p w:rsidR="007F286F" w:rsidRDefault="00FE155D" w:rsidP="007F286F">
            <w:r>
              <w:t>STIKES Mamba’ul ‘Ulum Surakarta</w:t>
            </w:r>
            <w:r w:rsidR="00941203">
              <w:t>,</w:t>
            </w:r>
          </w:p>
          <w:p w:rsidR="007F286F" w:rsidRDefault="00FE155D" w:rsidP="007F286F">
            <w:r>
              <w:t>KM 03 Ring Road, Tawangsari, Mojosongi, Jebres</w:t>
            </w:r>
            <w:r w:rsidR="007F286F">
              <w:t xml:space="preserve">, </w:t>
            </w:r>
            <w:r>
              <w:t>Surakarta, Jawa Tengah, Indonesia.</w:t>
            </w:r>
          </w:p>
          <w:p w:rsidR="00FE155D" w:rsidRPr="00FE155D" w:rsidRDefault="00941203" w:rsidP="006B027E">
            <w:pPr>
              <w:spacing w:after="120"/>
            </w:pPr>
            <w:r>
              <w:t xml:space="preserve">Email: </w:t>
            </w:r>
            <w:hyperlink r:id="rId8" w:history="1">
              <w:r w:rsidR="00FE155D" w:rsidRPr="00AF5640">
                <w:rPr>
                  <w:rStyle w:val="Hyperlink"/>
                </w:rPr>
                <w:t>lsna@stikesmus.ac.id</w:t>
              </w:r>
            </w:hyperlink>
          </w:p>
        </w:tc>
      </w:tr>
    </w:tbl>
    <w:p w:rsidR="00C07BEF" w:rsidRPr="00957C11" w:rsidRDefault="00C07BEF" w:rsidP="00957C11">
      <w:pPr>
        <w:jc w:val="both"/>
      </w:pPr>
    </w:p>
    <w:p w:rsidR="00904D6D" w:rsidRPr="00956EB6" w:rsidRDefault="00495283" w:rsidP="00956EB6">
      <w:pPr>
        <w:numPr>
          <w:ilvl w:val="0"/>
          <w:numId w:val="15"/>
        </w:numPr>
        <w:tabs>
          <w:tab w:val="left" w:pos="426"/>
        </w:tabs>
        <w:ind w:left="426" w:hanging="426"/>
        <w:rPr>
          <w:b/>
          <w:bCs/>
          <w:lang w:val="id-ID"/>
        </w:rPr>
      </w:pPr>
      <w:r>
        <w:rPr>
          <w:b/>
          <w:bCs/>
          <w:lang w:val="id-ID"/>
        </w:rPr>
        <w:t>INTRODUCTIO</w:t>
      </w:r>
      <w:r>
        <w:rPr>
          <w:b/>
          <w:bCs/>
        </w:rPr>
        <w:t>N</w:t>
      </w:r>
    </w:p>
    <w:p w:rsidR="00F0404B" w:rsidRDefault="00F0404B" w:rsidP="00C311E4">
      <w:pPr>
        <w:ind w:firstLine="720"/>
        <w:jc w:val="both"/>
      </w:pPr>
      <w:r w:rsidRPr="00F0404B">
        <w:t>Living creatures need food to defend their lives, because there are nutrients in the food that the body needs to perform metabolism activities. Fulfilling the nutritional needs for the elderly who are well-administered can help the process of adapting or adjusting to the changes they have, in addition it can replace the body cells to extend the age. Elderly have the same necessities of life in order to live prosperous, the needs of the elderly include nutritious eating needs, health screening, decent housing, social w</w:t>
      </w:r>
      <w:r w:rsidR="00304A60">
        <w:t>elfare needs in a healthy intellectual functios</w:t>
      </w:r>
      <w:r w:rsidRPr="00F0404B">
        <w:t xml:space="preserve"> condition.</w:t>
      </w:r>
    </w:p>
    <w:p w:rsidR="00640CEE" w:rsidRPr="00AB1D92" w:rsidRDefault="00640CEE" w:rsidP="00C311E4">
      <w:pPr>
        <w:ind w:firstLine="720"/>
        <w:jc w:val="both"/>
      </w:pPr>
      <w:r w:rsidRPr="00640CEE">
        <w:rPr>
          <w:lang w:val="id-ID"/>
        </w:rPr>
        <w:t>The number of elderly in Indonesia in 2019 based on data from BPS is 25.66 million (9.60%) A distributed young elderly (60-69 years) 63.82%, senior elderly 70-79 (27.68%) a</w:t>
      </w:r>
      <w:r w:rsidR="003E407B">
        <w:rPr>
          <w:lang w:val="id-ID"/>
        </w:rPr>
        <w:t>nd elderly Seniors 80 + (8.50%)</w:t>
      </w:r>
      <w:r w:rsidR="005D2408">
        <w:t xml:space="preserve"> </w:t>
      </w:r>
      <w:r w:rsidR="009D32D1">
        <w:fldChar w:fldCharType="begin" w:fldLock="1"/>
      </w:r>
      <w:r w:rsidR="00EA586C">
        <w:instrText>ADDIN CSL_CITATION {"citationItems":[{"id":"ITEM-1","itemData":{"ISBN":"2086-1036","author":[{"dropping-particle":"","family":"Maylasari","given":"Ika","non-dropping-particle":"","parse-names":false,"suffix":""},{"dropping-particle":"","family":"Rahchmawati","given":"Yeni","non-dropping-particle":"","parse-names":false,"suffix":""},{"dropping-particle":"","family":"Wilson","given":"Hendrik","non-dropping-particle":"","parse-names":false,"suffix":""},{"dropping-particle":"","family":"Nugroho","given":"Sigit","non-dropping-particle":"","parse-names":false,"suffix":""},{"dropping-particle":"","family":"Sulistyowati","given":"Nindya","non-dropping-particle":"","parse-names":false,"suffix":""},{"dropping-particle":"","family":"Dewi","given":"Freshy","non-dropping-particle":"","parse-names":false,"suffix":""}],"id":"ITEM-1","issued":{"date-parts":[["2019"]]},"number-of-pages":"258","publisher":"Central Statistic Agency","publisher-place":"Jakarta","title":"Elderly statistics age 2019","type":"book"},"uris":["http://www.mendeley.com/documents/?uuid=31bad80f-b5ca-41d5-8c16-26478e574bfe"]}],"mendeley":{"formattedCitation":"(1)","manualFormatting":"[1]","plainTextFormattedCitation":"(1)","previouslyFormattedCitation":"(1)"},"properties":{"noteIndex":0},"schema":"https://github.com/citation-style-language/schema/raw/master/csl-citation.json"}</w:instrText>
      </w:r>
      <w:r w:rsidR="009D32D1">
        <w:fldChar w:fldCharType="separate"/>
      </w:r>
      <w:r w:rsidR="00EA586C">
        <w:rPr>
          <w:noProof/>
        </w:rPr>
        <w:t>[</w:t>
      </w:r>
      <w:r w:rsidR="003E407B" w:rsidRPr="00546ADF">
        <w:rPr>
          <w:noProof/>
        </w:rPr>
        <w:t>1</w:t>
      </w:r>
      <w:r w:rsidR="00EA586C">
        <w:rPr>
          <w:noProof/>
        </w:rPr>
        <w:t>]</w:t>
      </w:r>
      <w:r w:rsidR="009D32D1">
        <w:fldChar w:fldCharType="end"/>
      </w:r>
      <w:r w:rsidR="00EA586C" w:rsidRPr="00640CEE">
        <w:rPr>
          <w:lang w:val="id-ID"/>
        </w:rPr>
        <w:t xml:space="preserve"> </w:t>
      </w:r>
      <w:r w:rsidRPr="00640CEE">
        <w:rPr>
          <w:lang w:val="id-ID"/>
        </w:rPr>
        <w:t xml:space="preserve">. </w:t>
      </w:r>
      <w:r w:rsidR="00AB1D92" w:rsidRPr="00AB1D92">
        <w:rPr>
          <w:lang w:val="id-ID"/>
        </w:rPr>
        <w:t>There are 9.6% elderly in Indondonesia. The elderly dependence ratio of the productive population (15-59) increased to 15.01%. In 2019, the elderly percentage reached 9.6% or about 25.64 million, this condition indicates that Indonesia is transitioning to the age-aging Kea, because the percentage of population aged in 60 daiats reach 7%</w:t>
      </w:r>
      <w:r w:rsidR="00AB1D92">
        <w:t xml:space="preserve"> </w:t>
      </w:r>
      <w:r w:rsidR="009D32D1">
        <w:fldChar w:fldCharType="begin" w:fldLock="1"/>
      </w:r>
      <w:r w:rsidR="00EA586C">
        <w:instrText>ADDIN CSL_CITATION {"citationItems":[{"id":"ITEM-1","itemData":{"ISBN":"2086-1036","author":[{"dropping-particle":"","family":"Maylasari","given":"Ika","non-dropping-particle":"","parse-names":false,"suffix":""},{"dropping-particle":"","family":"Rahchmawati","given":"Yeni","non-dropping-particle":"","parse-names":false,"suffix":""},{"dropping-particle":"","family":"Wilson","given":"Hendrik","non-dropping-particle":"","parse-names":false,"suffix":""},{"dropping-particle":"","family":"Nugroho","given":"Sigit","non-dropping-particle":"","parse-names":false,"suffix":""},{"dropping-particle":"","family":"Sulistyowati","given":"Nindya","non-dropping-particle":"","parse-names":false,"suffix":""},{"dropping-particle":"","family":"Dewi","given":"Freshy","non-dropping-particle":"","parse-names":false,"suffix":""}],"id":"ITEM-1","issued":{"date-parts":[["2019"]]},"number-of-pages":"258","publisher":"Central Statistic Agency","publisher-place":"Jakarta","title":"Elderly statistics age 2019","type":"book"},"uris":["http://www.mendeley.com/documents/?uuid=31bad80f-b5ca-41d5-8c16-26478e574bfe"]}],"mendeley":{"formattedCitation":"(1)","manualFormatting":"[1]","plainTextFormattedCitation":"(1)","previouslyFormattedCitation":"(1)"},"properties":{"noteIndex":0},"schema":"https://github.com/citation-style-language/schema/raw/master/csl-citation.json"}</w:instrText>
      </w:r>
      <w:r w:rsidR="009D32D1">
        <w:fldChar w:fldCharType="separate"/>
      </w:r>
      <w:r w:rsidR="00EA586C">
        <w:rPr>
          <w:noProof/>
        </w:rPr>
        <w:t>[</w:t>
      </w:r>
      <w:r w:rsidR="00AB1D92" w:rsidRPr="00AB1D92">
        <w:rPr>
          <w:noProof/>
        </w:rPr>
        <w:t>1</w:t>
      </w:r>
      <w:r w:rsidR="00EA586C">
        <w:rPr>
          <w:noProof/>
        </w:rPr>
        <w:t>]</w:t>
      </w:r>
      <w:r w:rsidR="009D32D1">
        <w:fldChar w:fldCharType="end"/>
      </w:r>
      <w:r w:rsidR="00EA586C" w:rsidRPr="00AB1D92">
        <w:t xml:space="preserve"> </w:t>
      </w:r>
    </w:p>
    <w:p w:rsidR="00640CEE" w:rsidRDefault="00640CEE" w:rsidP="00C311E4">
      <w:pPr>
        <w:ind w:firstLine="720"/>
        <w:jc w:val="both"/>
      </w:pPr>
      <w:r w:rsidRPr="00640CEE">
        <w:t xml:space="preserve">Increasing age, physiological function has decreased due to the aging process so that the disease is not contagious often occurs in the elderly the main problem in the elderly is only associated with neurological diseases is a decrease in mental function. Memory impairment, changes in perception, </w:t>
      </w:r>
      <w:r w:rsidRPr="00640CEE">
        <w:lastRenderedPageBreak/>
        <w:t>communication, loss of focus and attention, barriers in carrying out daily assignments are symptoms of mental dis</w:t>
      </w:r>
      <w:r w:rsidR="00503A3F">
        <w:t xml:space="preserve">orders </w:t>
      </w:r>
      <w:r w:rsidR="009D32D1">
        <w:fldChar w:fldCharType="begin" w:fldLock="1"/>
      </w:r>
      <w:r w:rsidR="00EA586C">
        <w:instrText>ADDIN CSL_CITATION {"citationItems":[{"id":"ITEM-1","itemData":{"author":[{"dropping-particle":"","family":"Health","given":"Ministry","non-dropping-particle":"","parse-names":false,"suffix":""}],"id":"ITEM-1","issued":{"date-parts":[["2013"]]},"publisher-place":"Jakarta","title":"An overview of elderly health in Indonesia","type":"report"},"uris":["http://www.mendeley.com/documents/?uuid=981d79fb-29a8-4629-9f3a-da2a952d1d15"]}],"mendeley":{"formattedCitation":"(2)","manualFormatting":"[2]","plainTextFormattedCitation":"(2)","previouslyFormattedCitation":"(2)"},"properties":{"noteIndex":0},"schema":"https://github.com/citation-style-language/schema/raw/master/csl-citation.json"}</w:instrText>
      </w:r>
      <w:r w:rsidR="009D32D1">
        <w:fldChar w:fldCharType="separate"/>
      </w:r>
      <w:r w:rsidR="00EA586C">
        <w:rPr>
          <w:noProof/>
        </w:rPr>
        <w:t>[</w:t>
      </w:r>
      <w:r w:rsidR="00AB1D92" w:rsidRPr="00503574">
        <w:rPr>
          <w:noProof/>
        </w:rPr>
        <w:t>2</w:t>
      </w:r>
      <w:r w:rsidR="00EA586C">
        <w:rPr>
          <w:noProof/>
        </w:rPr>
        <w:t>]</w:t>
      </w:r>
      <w:r w:rsidR="009D32D1">
        <w:fldChar w:fldCharType="end"/>
      </w:r>
      <w:r w:rsidR="00EA586C" w:rsidRPr="00640CEE">
        <w:t xml:space="preserve"> </w:t>
      </w:r>
      <w:r w:rsidRPr="00640CEE">
        <w:t>. The decline of mental function further affects the pattern of their interactions with the environment of residence, family members, also the p</w:t>
      </w:r>
      <w:r w:rsidR="00503A3F">
        <w:t xml:space="preserve">attern of social activity </w:t>
      </w:r>
      <w:r w:rsidR="009D32D1">
        <w:fldChar w:fldCharType="begin" w:fldLock="1"/>
      </w:r>
      <w:r w:rsidR="00697A07">
        <w:instrText>ADDIN CSL_CITATION {"citationItems":[{"id":"ITEM-1","itemData":{"author":[{"dropping-particle":"","family":"Wreksoatmodjo","given":"","non-dropping-particle":"","parse-names":false,"suffix":""}],"edition":"1","id":"ITEM-1","issued":{"date-parts":[["2013"]]},"number-of-pages":"25-32","publisher":"CDK","publisher-place":"Jakarta","title":"\"Some physical conditions and diseases are a risk factor for impairment of cognitive function,\"","type":"book"},"uris":["http://www.mendeley.com/documents/?uuid=0e40e1d0-eed6-4ad5-9350-8c26a98d8a6d"]}],"mendeley":{"formattedCitation":"(3)","manualFormatting":"[3]"},"properties":{"noteIndex":0},"schema":"https://github.com/citation-style-language/schema/raw/master/csl-citation.json"}</w:instrText>
      </w:r>
      <w:r w:rsidR="009D32D1">
        <w:fldChar w:fldCharType="separate"/>
      </w:r>
      <w:r w:rsidR="00697A07">
        <w:rPr>
          <w:noProof/>
        </w:rPr>
        <w:t>[</w:t>
      </w:r>
      <w:r w:rsidR="00EA586C" w:rsidRPr="00EA586C">
        <w:rPr>
          <w:noProof/>
        </w:rPr>
        <w:t>3</w:t>
      </w:r>
      <w:r w:rsidR="00697A07">
        <w:rPr>
          <w:noProof/>
        </w:rPr>
        <w:t>]</w:t>
      </w:r>
      <w:r w:rsidR="009D32D1">
        <w:fldChar w:fldCharType="end"/>
      </w:r>
      <w:r w:rsidR="00697A07">
        <w:t xml:space="preserve"> </w:t>
      </w:r>
      <w:r w:rsidR="00EA586C">
        <w:t xml:space="preserve"> </w:t>
      </w:r>
    </w:p>
    <w:p w:rsidR="00403B18" w:rsidRPr="00640CEE" w:rsidRDefault="00403B18" w:rsidP="00C311E4">
      <w:pPr>
        <w:ind w:firstLine="720"/>
        <w:jc w:val="both"/>
      </w:pPr>
      <w:r w:rsidRPr="00403B18">
        <w:t>Health problems that often occur in the elderly are different from adults, called geriatric syndrome, which is a collection of symptoms that are about health and complained of by the elderly one of them is intellectual function. Dementia is a disorder of intellectual function and memory acquired caused by diseases of the brain, which is not related to impaired levels of consciousness, thereby affecting the work and social activities meaningfully. Dementia is not only a problem in memory. Dementia includes reduced ability to know, think, save or recall past experiences and also loss of touch patterns, patients become a taste, and disrup</w:t>
      </w:r>
      <w:r w:rsidR="00503A3F">
        <w:t xml:space="preserve">tion of activity </w:t>
      </w:r>
      <w:r w:rsidR="009D32D1">
        <w:fldChar w:fldCharType="begin" w:fldLock="1"/>
      </w:r>
      <w:r w:rsidR="00EA586C">
        <w:instrText>ADDIN CSL_CITATION {"citationItems":[{"id":"ITEM-1","itemData":{"author":[{"dropping-particle":"","family":"Safitri","given":"Nedya","non-dropping-particle":"","parse-names":false,"suffix":""}],"container-title":"Kemenkes RI","id":"ITEM-1","issued":{"date-parts":[["2018"]]},"publisher-place":"Jakarta","title":"\"Elderly health problems\"","type":"article-newspaper"},"uris":["http://www.mendeley.com/documents/?uuid=28016532-60a5-46d0-9c05-51ec6aea4cee"]}],"mendeley":{"formattedCitation":"(4)"},"properties":{"noteIndex":0},"schema":"https://github.com/citation-style-language/schema/raw/master/csl-citation.json"}</w:instrText>
      </w:r>
      <w:r w:rsidR="009D32D1">
        <w:fldChar w:fldCharType="separate"/>
      </w:r>
      <w:r w:rsidR="00697A07">
        <w:rPr>
          <w:noProof/>
        </w:rPr>
        <w:t>[</w:t>
      </w:r>
      <w:r w:rsidR="00EA586C" w:rsidRPr="00EA586C">
        <w:rPr>
          <w:noProof/>
        </w:rPr>
        <w:t>4</w:t>
      </w:r>
      <w:r w:rsidR="00697A07">
        <w:rPr>
          <w:noProof/>
        </w:rPr>
        <w:t>]</w:t>
      </w:r>
      <w:r w:rsidR="009D32D1">
        <w:fldChar w:fldCharType="end"/>
      </w:r>
      <w:r w:rsidR="00697A07">
        <w:t xml:space="preserve"> </w:t>
      </w:r>
      <w:r w:rsidR="00EA586C">
        <w:t xml:space="preserve"> </w:t>
      </w:r>
      <w:r w:rsidR="00503A3F">
        <w:t>.</w:t>
      </w:r>
    </w:p>
    <w:p w:rsidR="00904D6D" w:rsidRDefault="00B01781" w:rsidP="00B01781">
      <w:pPr>
        <w:ind w:firstLine="720"/>
        <w:jc w:val="both"/>
      </w:pPr>
      <w:r w:rsidRPr="00B01781">
        <w:t xml:space="preserve">Physical activity is the movement of body members that leads to the energy expenditure that is important for the maintenance of physical and mental health and maintains the quality of life to stay healthy and fit every day, but due to physical limitations possessed by age and changes in physiological function, eating elderly requires some adjustments in conducting daily physical activity. This physical activity affects elderly independence, one of which prepares their food needs. The level of elderly independence in fulfilling its daily needs is one of the factors that can affect the status of elderly nutrition. Increased reliability is caused by physical, psychological and </w:t>
      </w:r>
      <w:r w:rsidR="00503A3F">
        <w:t xml:space="preserve">social decline </w:t>
      </w:r>
      <w:r w:rsidR="009D32D1">
        <w:fldChar w:fldCharType="begin" w:fldLock="1"/>
      </w:r>
      <w:r w:rsidR="00697A07">
        <w:instrText>ADDIN CSL_CITATION {"citationItems":[{"id":"ITEM-1","itemData":{"author":[{"dropping-particle":"","family":"A","given":"Yulianti","non-dropping-particle":"","parse-names":false,"suffix":""},{"dropping-particle":"","family":"B","given":"Ni'mal","non-dropping-particle":"","parse-names":false,"suffix":""},{"dropping-particle":"","family":"R","given":"Mury","non-dropping-particle":"","parse-names":false,"suffix":""}],"container-title":"e-Journal Pustaka Kesehatan","id":"ITEM-1","issue":"87-94","issued":{"date-parts":[["2014"]]},"title":"\"Difference in quality with an elderly social\"","type":"article-journal","volume":"2 (1)"},"uris":["http://www.mendeley.com/documents/?uuid=a98460a4-0d4d-49ad-bc73-90f17f50e250"]}],"mendeley":{"formattedCitation":"(5)","manualFormatting":"[5]","plainTextFormattedCitation":"(5)","previouslyFormattedCitation":"(5)"},"properties":{"noteIndex":0},"schema":"https://github.com/citation-style-language/schema/raw/master/csl-citation.json"}</w:instrText>
      </w:r>
      <w:r w:rsidR="009D32D1">
        <w:fldChar w:fldCharType="separate"/>
      </w:r>
      <w:r w:rsidR="00697A07">
        <w:rPr>
          <w:noProof/>
        </w:rPr>
        <w:t>[</w:t>
      </w:r>
      <w:r w:rsidR="00AB1D92" w:rsidRPr="00AB1D92">
        <w:rPr>
          <w:noProof/>
        </w:rPr>
        <w:t>5</w:t>
      </w:r>
      <w:r w:rsidR="00697A07">
        <w:rPr>
          <w:noProof/>
        </w:rPr>
        <w:t>]</w:t>
      </w:r>
      <w:r w:rsidR="009D32D1">
        <w:fldChar w:fldCharType="end"/>
      </w:r>
      <w:r w:rsidR="00697A07" w:rsidRPr="00B01781">
        <w:t xml:space="preserve"> </w:t>
      </w:r>
      <w:r w:rsidRPr="00B01781">
        <w:t>. The decline experienced by the elderly resulted in disruptions in fulfilling the daily needs that could increase the help of others.</w:t>
      </w:r>
    </w:p>
    <w:p w:rsidR="00B01781" w:rsidRDefault="00B01781" w:rsidP="00B01781">
      <w:pPr>
        <w:ind w:firstLine="720"/>
        <w:jc w:val="both"/>
      </w:pPr>
      <w:r w:rsidRPr="00B01781">
        <w:t>The results of the census data conducted by the BPS RI in measuring the elderly independence is obtained data that the ratio of elderly people to show that each year increased, year 2012 of 11.90 means that every 100 oarng productive should bear 1</w:t>
      </w:r>
      <w:r w:rsidR="00FE702B">
        <w:t>2 olderly</w:t>
      </w:r>
      <w:r w:rsidRPr="00B01781">
        <w:t xml:space="preserve"> </w:t>
      </w:r>
      <w:r w:rsidR="00FE702B">
        <w:t xml:space="preserve">  </w:t>
      </w:r>
      <w:r w:rsidR="009D32D1">
        <w:fldChar w:fldCharType="begin" w:fldLock="1"/>
      </w:r>
      <w:r w:rsidR="00697A07">
        <w:instrText>ADDIN CSL_CITATION {"citationItems":[{"id":"ITEM-1","itemData":{"author":[{"dropping-particle":"","family":"Health","given":"Ministry","non-dropping-particle":"","parse-names":false,"suffix":""}],"id":"ITEM-1","issued":{"date-parts":[["2013"]]},"publisher-place":"Jakarta","title":"An overview of elderly health in Indonesia","type":"report"},"uris":["http://www.mendeley.com/documents/?uuid=981d79fb-29a8-4629-9f3a-da2a952d1d15"]}],"mendeley":{"formattedCitation":"(2)","manualFormatting":"[2]","plainTextFormattedCitation":"(2)","previouslyFormattedCitation":"(2)"},"properties":{"noteIndex":0},"schema":"https://github.com/citation-style-language/schema/raw/master/csl-citation.json"}</w:instrText>
      </w:r>
      <w:r w:rsidR="009D32D1">
        <w:fldChar w:fldCharType="separate"/>
      </w:r>
      <w:r w:rsidR="00697A07">
        <w:rPr>
          <w:noProof/>
        </w:rPr>
        <w:t>[</w:t>
      </w:r>
      <w:r w:rsidR="00566730" w:rsidRPr="007E50FC">
        <w:rPr>
          <w:noProof/>
        </w:rPr>
        <w:t>2</w:t>
      </w:r>
      <w:r w:rsidR="00697A07">
        <w:rPr>
          <w:noProof/>
        </w:rPr>
        <w:t>]</w:t>
      </w:r>
      <w:r w:rsidR="009D32D1">
        <w:fldChar w:fldCharType="end"/>
      </w:r>
      <w:r w:rsidR="00697A07" w:rsidRPr="00B01781">
        <w:t xml:space="preserve"> </w:t>
      </w:r>
      <w:r w:rsidRPr="00B01781">
        <w:t>. The assessment of independence in conducting daily activities is necessary to learn the level of further age to establish a life relief effort for the elderly and to c</w:t>
      </w:r>
      <w:r w:rsidR="00FE702B">
        <w:t xml:space="preserve">onduct long-term care planning </w:t>
      </w:r>
      <w:r w:rsidR="009D32D1">
        <w:fldChar w:fldCharType="begin" w:fldLock="1"/>
      </w:r>
      <w:r w:rsidR="00697A07">
        <w:instrText>ADDIN CSL_CITATION {"citationItems":[{"id":"ITEM-1","itemData":{"author":[{"dropping-particle":"","family":"Maryam RS, Ekasari MF","given":"Rosidawat","non-dropping-particle":"","parse-names":false,"suffix":""}],"edition":"1","id":"ITEM-1","issued":{"date-parts":[["2011"]]},"publisher":"Salemba Medika","publisher-place":"Jakarta","title":"\"Getting to know their age and care\"","type":"book"},"uris":["http://www.mendeley.com/documents/?uuid=82293e07-50b9-464c-bb46-40ddbc945c74"]}],"mendeley":{"formattedCitation":"(6)","manualFormatting":"[6]","plainTextFormattedCitation":"(6)","previouslyFormattedCitation":"(6)"},"properties":{"noteIndex":0},"schema":"https://github.com/citation-style-language/schema/raw/master/csl-citation.json"}</w:instrText>
      </w:r>
      <w:r w:rsidR="009D32D1">
        <w:fldChar w:fldCharType="separate"/>
      </w:r>
      <w:r w:rsidR="00697A07">
        <w:rPr>
          <w:noProof/>
        </w:rPr>
        <w:t>[</w:t>
      </w:r>
      <w:r w:rsidR="00566730" w:rsidRPr="007E50FC">
        <w:rPr>
          <w:noProof/>
        </w:rPr>
        <w:t>6</w:t>
      </w:r>
      <w:r w:rsidR="00697A07">
        <w:rPr>
          <w:noProof/>
        </w:rPr>
        <w:t>]</w:t>
      </w:r>
      <w:r w:rsidR="009D32D1">
        <w:fldChar w:fldCharType="end"/>
      </w:r>
      <w:r w:rsidR="00697A07">
        <w:t xml:space="preserve"> </w:t>
      </w:r>
    </w:p>
    <w:p w:rsidR="00612401" w:rsidRDefault="00B01781" w:rsidP="00B01781">
      <w:pPr>
        <w:ind w:firstLine="720"/>
        <w:jc w:val="both"/>
      </w:pPr>
      <w:r w:rsidRPr="00B01781">
        <w:t xml:space="preserve">The level of elderly independence using the Kartz index in hospital Karyadi Semarang pointed out that 17.91% have independence in all categories are assessed. This research shows that the level of elderly independence in every aspect assessed is </w:t>
      </w:r>
      <w:r w:rsidR="00FE702B">
        <w:t xml:space="preserve">still very low </w:t>
      </w:r>
      <w:r w:rsidR="009D32D1">
        <w:fldChar w:fldCharType="begin" w:fldLock="1"/>
      </w:r>
      <w:r w:rsidR="00697A07">
        <w:instrText>ADDIN CSL_CITATION {"citationItems":[{"id":"ITEM-1","itemData":{"author":[{"dropping-particle":"","family":"Zulaika S","given":"Widowati","non-dropping-particle":"","parse-names":false,"suffix":""}],"container-title":"Jurnal Kesehatan","id":"ITEM-1","issued":{"date-parts":[["2009"]]},"title":"\"Relationship Status of nutrition (mini nutritional assesment) with the level of self-reliance (index of the Cathz) sufferers in the hospital geriatrics Karyadi Semarag\"","type":"article-journal","volume":"2"},"uris":["http://www.mendeley.com/documents/?uuid=636fe3f7-4811-49dd-a10b-0fc9020ec538"]}],"mendeley":{"formattedCitation":"(7)","manualFormatting":"[7]","plainTextFormattedCitation":"(7)","previouslyFormattedCitation":"(7)"},"properties":{"noteIndex":0},"schema":"https://github.com/citation-style-language/schema/raw/master/csl-citation.json"}</w:instrText>
      </w:r>
      <w:r w:rsidR="009D32D1">
        <w:fldChar w:fldCharType="separate"/>
      </w:r>
      <w:r w:rsidR="00697A07">
        <w:rPr>
          <w:noProof/>
        </w:rPr>
        <w:t>[</w:t>
      </w:r>
      <w:r w:rsidR="00566730" w:rsidRPr="00252D0A">
        <w:rPr>
          <w:noProof/>
        </w:rPr>
        <w:t>7</w:t>
      </w:r>
      <w:r w:rsidR="00697A07">
        <w:rPr>
          <w:noProof/>
        </w:rPr>
        <w:t>]</w:t>
      </w:r>
      <w:r w:rsidR="009D32D1">
        <w:fldChar w:fldCharType="end"/>
      </w:r>
      <w:r w:rsidR="00697A07" w:rsidRPr="00B01781">
        <w:t xml:space="preserve"> </w:t>
      </w:r>
      <w:r w:rsidRPr="00B01781">
        <w:t>. One of the risk factors of impaired nutritional needs in the elderly is dependence, whether it is family reliability, as well as care personnel, this condition is caused by decreased body function, muscle weakness and mobility ability that affects the status of elderly nutrients. The determination of elderly nutritional st</w:t>
      </w:r>
      <w:r w:rsidR="0035131C">
        <w:t>atus is required by the Body's Mass I</w:t>
      </w:r>
      <w:r w:rsidRPr="00B01781">
        <w:t xml:space="preserve">ndex (BMI) through measuring body height and weight. </w:t>
      </w:r>
    </w:p>
    <w:p w:rsidR="00612401" w:rsidRDefault="00612401" w:rsidP="00B01781">
      <w:pPr>
        <w:ind w:firstLine="720"/>
        <w:jc w:val="both"/>
      </w:pPr>
      <w:r w:rsidRPr="00612401">
        <w:t>Jelok Village, Cepogo Boyolali in 2019 with a population of about 4 million people, consisting of 4 RW, the location of research in RW I Dusun Sidosari with an elderly population of about 87 people. The elderly lives in Jelok with various activities such as farmers, merchants and entrepreneurs. The caller aims to know the large and indirect contributions of causal relationships between age, gender, mental status of elderly activities and their impact on elderly nutritional status.</w:t>
      </w:r>
    </w:p>
    <w:p w:rsidR="00B01781" w:rsidRDefault="00B01781" w:rsidP="00B01781">
      <w:pPr>
        <w:ind w:firstLine="720"/>
        <w:jc w:val="both"/>
      </w:pPr>
      <w:r w:rsidRPr="00B01781">
        <w:t xml:space="preserve">  </w:t>
      </w: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495283">
        <w:rPr>
          <w:b/>
          <w:bCs/>
        </w:rPr>
        <w:t xml:space="preserve"> </w:t>
      </w:r>
    </w:p>
    <w:p w:rsidR="00612401" w:rsidRPr="00612401" w:rsidRDefault="00612401" w:rsidP="00612401">
      <w:pPr>
        <w:tabs>
          <w:tab w:val="left" w:pos="426"/>
        </w:tabs>
        <w:jc w:val="both"/>
        <w:rPr>
          <w:bCs/>
        </w:rPr>
      </w:pPr>
      <w:r>
        <w:rPr>
          <w:bCs/>
        </w:rPr>
        <w:tab/>
      </w:r>
      <w:r>
        <w:rPr>
          <w:bCs/>
        </w:rPr>
        <w:tab/>
      </w:r>
      <w:r w:rsidRPr="00612401">
        <w:rPr>
          <w:bCs/>
        </w:rPr>
        <w:t xml:space="preserve">This type of research is quantitative with a cross sectional approach. Data collection using questionnaire that has been conducted validity test with Perason Product Moment and reliability by using Cronbach Alpha formula. Popuasi is the whole elderly in Sidosari Hamlet Jelok Village, Cepogo, Boyolali with an elderly population of 87. Sampling techniques using simple random sampling, i.e. sampling techniques using the formula Slovin obtained 70 respondents based on subjective and practical criteria or consideration, the elderly can provide information and cooperative in answering questions. Sample Inclusion Kreteria is an elderly age &gt; 60 years old, willing to be a respondent, can be a complement and cooperative. The independent variables of this study are age, intellectual function and day-to-night activities, while the dependencies variable is elderly nutritional status. The elderly self-reliance rate assessment is measured using the Activity of Daily Living (ADL) index with independent categories, partial and dependent </w:t>
      </w:r>
      <w:r w:rsidR="00FE702B">
        <w:rPr>
          <w:bCs/>
        </w:rPr>
        <w:t xml:space="preserve">dependence  </w:t>
      </w:r>
      <w:r w:rsidR="009D32D1">
        <w:rPr>
          <w:bCs/>
        </w:rPr>
        <w:fldChar w:fldCharType="begin" w:fldLock="1"/>
      </w:r>
      <w:r w:rsidR="00697A07">
        <w:rPr>
          <w:bCs/>
        </w:rPr>
        <w:instrText>ADDIN CSL_CITATION {"citationItems":[{"id":"ITEM-1","itemData":{"DOI":"10.1093/arclin/acw049","ISSN":"08876177","abstract":"Activities of daily living (ADL) comprise the basic actions that involve caring for one's self and body, including personal care, mobility, and eating. In this review article, we (1) review useful clinical tools including a discussion on ways to approach ADL assessment across settings, (2) highlight relevant literature evaluating the relationship between cognitive functioning and ADLs, (3) discuss other biopsychosocial factors affecting ADL performance, (4) provide clinical recommendations for enhancing ADL capacity with an emphasis on self-care tasks (eating, grooming, dressing, bathing and toileting), and (5) identify interventions that treatment providers can implement to reduce the burden of ADL care.","author":[{"dropping-particle":"","family":"Mlinac","given":"Michelle E.","non-dropping-particle":"","parse-names":false,"suffix":""},{"dropping-particle":"","family":"Feng","given":"Michelle C.","non-dropping-particle":"","parse-names":false,"suffix":""}],"container-title":"Archives of Clinical Neuropsychology","id":"ITEM-1","issue":"6","issued":{"date-parts":[["2016"]]},"page":"506-516","title":"Assessment of activities of daily living, self-care, and independence\"","type":"article-journal","volume":"31"},"uris":["http://www.mendeley.com/documents/?uuid=c26a8579-6c6c-494e-bd98-b43ca782fcb2"]}],"mendeley":{"formattedCitation":"(8)","manualFormatting":"[8]","plainTextFormattedCitation":"(8)","previouslyFormattedCitation":"(8)"},"properties":{"noteIndex":0},"schema":"https://github.com/citation-style-language/schema/raw/master/csl-citation.json"}</w:instrText>
      </w:r>
      <w:r w:rsidR="009D32D1">
        <w:rPr>
          <w:bCs/>
        </w:rPr>
        <w:fldChar w:fldCharType="separate"/>
      </w:r>
      <w:r w:rsidR="00697A07">
        <w:rPr>
          <w:bCs/>
          <w:noProof/>
        </w:rPr>
        <w:t>[</w:t>
      </w:r>
      <w:r w:rsidR="00566730" w:rsidRPr="00713E69">
        <w:rPr>
          <w:bCs/>
          <w:noProof/>
        </w:rPr>
        <w:t>8</w:t>
      </w:r>
      <w:r w:rsidR="00697A07">
        <w:rPr>
          <w:bCs/>
          <w:noProof/>
        </w:rPr>
        <w:t>]</w:t>
      </w:r>
      <w:r w:rsidR="009D32D1">
        <w:rPr>
          <w:bCs/>
        </w:rPr>
        <w:fldChar w:fldCharType="end"/>
      </w:r>
      <w:r w:rsidR="00697A07" w:rsidRPr="00612401">
        <w:rPr>
          <w:bCs/>
        </w:rPr>
        <w:t xml:space="preserve"> </w:t>
      </w:r>
      <w:r w:rsidRPr="00612401">
        <w:rPr>
          <w:bCs/>
        </w:rPr>
        <w:t xml:space="preserve">, intellectual function uses Short Portable Mental Status Quesioner (SPMSQ) with an intellectual function category, minor, moderate </w:t>
      </w:r>
      <w:r w:rsidR="00FE702B">
        <w:rPr>
          <w:bCs/>
        </w:rPr>
        <w:t xml:space="preserve">and severe damages </w:t>
      </w:r>
      <w:r w:rsidR="009D32D1">
        <w:rPr>
          <w:bCs/>
        </w:rPr>
        <w:fldChar w:fldCharType="begin" w:fldLock="1"/>
      </w:r>
      <w:r w:rsidR="00697A07">
        <w:rPr>
          <w:bCs/>
        </w:rPr>
        <w:instrText>ADDIN CSL_CITATION {"citationItems":[{"id":"ITEM-1","itemData":{"DOI":"10.1097/00006199-199911000-00009","ISSN":"0029-6562","author":[{"dropping-particle":"","family":"Welch","given":"Duana C.","non-dropping-particle":"","parse-names":false,"suffix":""},{"dropping-particle":"","family":"West","given":"Robin Lea","non-dropping-particle":"","parse-names":false,"suffix":""}],"container-title":"Nursing Research","id":"ITEM-1","issue":"6","issued":{"date-parts":[["2010"]]},"page":"329-332","title":"\"The short portable mental status questionnaire\"","type":"article-journal","volume":"48"},"uris":["http://www.mendeley.com/documents/?uuid=ab61c6a1-bdbe-4285-acad-e56ca5b751b9"]}],"mendeley":{"formattedCitation":"(9)","manualFormatting":"[9]","plainTextFormattedCitation":"(9)","previouslyFormattedCitation":"(9)"},"properties":{"noteIndex":0},"schema":"https://github.com/citation-style-language/schema/raw/master/csl-citation.json"}</w:instrText>
      </w:r>
      <w:r w:rsidR="009D32D1">
        <w:rPr>
          <w:bCs/>
        </w:rPr>
        <w:fldChar w:fldCharType="separate"/>
      </w:r>
      <w:r w:rsidR="00697A07">
        <w:rPr>
          <w:bCs/>
          <w:noProof/>
        </w:rPr>
        <w:t>[</w:t>
      </w:r>
      <w:r w:rsidR="00566730" w:rsidRPr="00713E69">
        <w:rPr>
          <w:bCs/>
          <w:noProof/>
        </w:rPr>
        <w:t>9</w:t>
      </w:r>
      <w:r w:rsidR="00697A07">
        <w:rPr>
          <w:bCs/>
          <w:noProof/>
        </w:rPr>
        <w:t>]</w:t>
      </w:r>
      <w:r w:rsidR="009D32D1">
        <w:rPr>
          <w:bCs/>
        </w:rPr>
        <w:fldChar w:fldCharType="end"/>
      </w:r>
      <w:r w:rsidR="00697A07">
        <w:rPr>
          <w:bCs/>
        </w:rPr>
        <w:t xml:space="preserve"> </w:t>
      </w:r>
      <w:r w:rsidR="00FE702B">
        <w:rPr>
          <w:bCs/>
        </w:rPr>
        <w:t xml:space="preserve"> </w:t>
      </w:r>
      <w:r w:rsidRPr="00612401">
        <w:rPr>
          <w:bCs/>
        </w:rPr>
        <w:t>and measurement of nutritional Status assessed by the Body Mass Index (BMI) with the category of good nutrition, insufficient and less. Data analysis using the path analysis technique to test the amount of direct or indirect contributions manifested by the line coefficient on each diagrampath of the causal relationship between the X</w:t>
      </w:r>
      <w:r w:rsidRPr="00612401">
        <w:rPr>
          <w:bCs/>
          <w:vertAlign w:val="subscript"/>
        </w:rPr>
        <w:t>1</w:t>
      </w:r>
      <w:r w:rsidRPr="00612401">
        <w:rPr>
          <w:bCs/>
        </w:rPr>
        <w:t xml:space="preserve"> and X</w:t>
      </w:r>
      <w:r w:rsidRPr="00612401">
        <w:rPr>
          <w:bCs/>
          <w:vertAlign w:val="subscript"/>
        </w:rPr>
        <w:t>2</w:t>
      </w:r>
      <w:r w:rsidRPr="00612401">
        <w:rPr>
          <w:bCs/>
        </w:rPr>
        <w:t xml:space="preserve"> variables against the Y and its impact on X. With linear regression with a significance rate of 5%.</w:t>
      </w:r>
    </w:p>
    <w:p w:rsidR="00E17E8F" w:rsidRPr="003D5B84" w:rsidRDefault="00E17E8F"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612401">
        <w:rPr>
          <w:b/>
          <w:bCs/>
        </w:rPr>
        <w:t xml:space="preserve"> </w:t>
      </w:r>
    </w:p>
    <w:p w:rsidR="00D063B7" w:rsidRDefault="00C9244B" w:rsidP="00904D6D">
      <w:pPr>
        <w:ind w:firstLine="720"/>
        <w:jc w:val="both"/>
      </w:pPr>
      <w:r w:rsidRPr="00C9244B">
        <w:t>Based on the results of the study conducted in December 2019 SD February 2020 in ge</w:t>
      </w:r>
      <w:r w:rsidR="00612401">
        <w:t>t the number of elderly in Sidosari</w:t>
      </w:r>
      <w:r w:rsidRPr="00C9244B">
        <w:t xml:space="preserve"> village, </w:t>
      </w:r>
      <w:r w:rsidR="00612401">
        <w:t>Jelok, Cepo</w:t>
      </w:r>
      <w:r w:rsidR="005D19AF">
        <w:t>go Boyolali in RW I</w:t>
      </w:r>
      <w:r w:rsidR="00612401">
        <w:t>, 87</w:t>
      </w:r>
      <w:r w:rsidRPr="00C9244B">
        <w:t xml:space="preserve"> people, who fulfill the inclusion criteria in this study amounted to 70 people.</w:t>
      </w:r>
      <w:r>
        <w:t xml:space="preserve"> </w:t>
      </w:r>
    </w:p>
    <w:p w:rsidR="00304A60" w:rsidRDefault="00304A60" w:rsidP="00904D6D">
      <w:pPr>
        <w:rPr>
          <w:b/>
          <w:bCs/>
        </w:rPr>
      </w:pPr>
    </w:p>
    <w:p w:rsidR="00787468" w:rsidRPr="00304A60" w:rsidRDefault="00787468" w:rsidP="00904D6D">
      <w:pPr>
        <w:rPr>
          <w:b/>
          <w:bCs/>
        </w:rPr>
      </w:pPr>
    </w:p>
    <w:p w:rsidR="00904D6D" w:rsidRPr="00C9244B" w:rsidRDefault="00904D6D" w:rsidP="00904D6D">
      <w:pPr>
        <w:rPr>
          <w:b/>
          <w:bCs/>
        </w:rPr>
      </w:pPr>
      <w:r w:rsidRPr="003D5B84">
        <w:rPr>
          <w:b/>
          <w:bCs/>
          <w:lang w:val="id-ID"/>
        </w:rPr>
        <w:t xml:space="preserve">3.1. </w:t>
      </w:r>
      <w:r w:rsidR="00D74C5F">
        <w:rPr>
          <w:b/>
          <w:bCs/>
        </w:rPr>
        <w:t xml:space="preserve"> </w:t>
      </w:r>
      <w:r w:rsidR="00C9244B" w:rsidRPr="00C9244B">
        <w:rPr>
          <w:b/>
          <w:bCs/>
        </w:rPr>
        <w:t>Characteristics of respondents</w:t>
      </w:r>
    </w:p>
    <w:p w:rsidR="00FE702B" w:rsidRDefault="00C9244B" w:rsidP="00C9244B">
      <w:pPr>
        <w:jc w:val="both"/>
        <w:rPr>
          <w:bCs/>
        </w:rPr>
      </w:pPr>
      <w:r w:rsidRPr="00C9244B">
        <w:rPr>
          <w:bCs/>
        </w:rPr>
        <w:t>The following table illustrates characteristics of respondents</w:t>
      </w:r>
    </w:p>
    <w:p w:rsidR="000F279B" w:rsidRPr="009C31DA" w:rsidRDefault="009C31DA" w:rsidP="009C31DA">
      <w:pPr>
        <w:jc w:val="center"/>
        <w:rPr>
          <w:bCs/>
        </w:rPr>
      </w:pPr>
      <w:r w:rsidRPr="009C31DA">
        <w:rPr>
          <w:bCs/>
        </w:rPr>
        <w:t>Table 1. Respondent's characteristic message</w:t>
      </w:r>
    </w:p>
    <w:tbl>
      <w:tblPr>
        <w:tblW w:w="4606" w:type="dxa"/>
        <w:jc w:val="center"/>
        <w:tblLook w:val="04A0"/>
      </w:tblPr>
      <w:tblGrid>
        <w:gridCol w:w="2686"/>
        <w:gridCol w:w="960"/>
        <w:gridCol w:w="960"/>
      </w:tblGrid>
      <w:tr w:rsidR="009C31DA" w:rsidRPr="009560FB" w:rsidTr="00304B01">
        <w:trPr>
          <w:trHeight w:val="300"/>
          <w:jc w:val="center"/>
        </w:trPr>
        <w:tc>
          <w:tcPr>
            <w:tcW w:w="2686"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rPr>
                <w:b/>
                <w:bCs/>
                <w:color w:val="000000"/>
              </w:rPr>
            </w:pPr>
            <w:r w:rsidRPr="009560FB">
              <w:rPr>
                <w:b/>
                <w:bCs/>
                <w:color w:val="000000"/>
              </w:rPr>
              <w:t>Age</w:t>
            </w:r>
          </w:p>
        </w:tc>
        <w:tc>
          <w:tcPr>
            <w:tcW w:w="960"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f</w:t>
            </w:r>
          </w:p>
        </w:tc>
        <w:tc>
          <w:tcPr>
            <w:tcW w:w="960"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60-69</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44</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62.86</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70-79</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24</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34.29</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&gt;80</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2.86</w:t>
            </w:r>
          </w:p>
        </w:tc>
      </w:tr>
      <w:tr w:rsidR="009C31DA" w:rsidRPr="009560FB" w:rsidTr="00304B01">
        <w:trPr>
          <w:trHeight w:val="300"/>
          <w:jc w:val="center"/>
        </w:trPr>
        <w:tc>
          <w:tcPr>
            <w:tcW w:w="2686"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rPr>
                <w:b/>
                <w:bCs/>
                <w:color w:val="000000"/>
              </w:rPr>
            </w:pPr>
            <w:r w:rsidRPr="009560FB">
              <w:rPr>
                <w:b/>
                <w:bCs/>
                <w:color w:val="000000"/>
              </w:rPr>
              <w:t>Gender</w:t>
            </w:r>
          </w:p>
        </w:tc>
        <w:tc>
          <w:tcPr>
            <w:tcW w:w="960"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Male</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36</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51.43</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9C31DA" w:rsidP="009560FB">
            <w:pPr>
              <w:rPr>
                <w:color w:val="000000"/>
              </w:rPr>
            </w:pPr>
            <w:r w:rsidRPr="009560FB">
              <w:rPr>
                <w:color w:val="000000"/>
              </w:rPr>
              <w:t>Female</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34</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48.57</w:t>
            </w:r>
          </w:p>
        </w:tc>
      </w:tr>
      <w:tr w:rsidR="009C31DA" w:rsidRPr="009560FB" w:rsidTr="00304B01">
        <w:trPr>
          <w:trHeight w:val="300"/>
          <w:jc w:val="center"/>
        </w:trPr>
        <w:tc>
          <w:tcPr>
            <w:tcW w:w="3646" w:type="dxa"/>
            <w:gridSpan w:val="2"/>
            <w:tcBorders>
              <w:top w:val="nil"/>
              <w:left w:val="nil"/>
              <w:bottom w:val="single" w:sz="4" w:space="0" w:color="auto"/>
              <w:right w:val="nil"/>
            </w:tcBorders>
            <w:shd w:val="clear" w:color="auto" w:fill="auto"/>
            <w:noWrap/>
            <w:vAlign w:val="bottom"/>
            <w:hideMark/>
          </w:tcPr>
          <w:p w:rsidR="009C31DA" w:rsidRPr="009560FB" w:rsidRDefault="009C31DA" w:rsidP="009560FB">
            <w:pPr>
              <w:rPr>
                <w:b/>
                <w:bCs/>
                <w:color w:val="000000"/>
              </w:rPr>
            </w:pPr>
            <w:r w:rsidRPr="009560FB">
              <w:rPr>
                <w:b/>
                <w:bCs/>
                <w:color w:val="000000"/>
              </w:rPr>
              <w:t>Activity</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Depending of total</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8</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11.43</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9C31DA" w:rsidP="009560FB">
            <w:pPr>
              <w:rPr>
                <w:color w:val="000000"/>
              </w:rPr>
            </w:pPr>
            <w:r w:rsidRPr="009560FB">
              <w:rPr>
                <w:color w:val="000000"/>
              </w:rPr>
              <w:t>Depends partly</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28</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40.00</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9C31DA" w:rsidP="009560FB">
            <w:pPr>
              <w:rPr>
                <w:color w:val="000000"/>
              </w:rPr>
            </w:pPr>
            <w:r w:rsidRPr="009560FB">
              <w:rPr>
                <w:color w:val="000000"/>
              </w:rPr>
              <w:t>Selft</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34</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48.57</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304A60" w:rsidP="009560FB">
            <w:pPr>
              <w:rPr>
                <w:b/>
                <w:bCs/>
                <w:color w:val="000000"/>
              </w:rPr>
            </w:pPr>
            <w:r w:rsidRPr="009560FB">
              <w:rPr>
                <w:b/>
                <w:bCs/>
                <w:color w:val="000000"/>
              </w:rPr>
              <w:t>Intellectual functions</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r>
      <w:tr w:rsidR="009C31DA" w:rsidRPr="009560FB" w:rsidTr="00304B01">
        <w:trPr>
          <w:trHeight w:val="300"/>
          <w:jc w:val="center"/>
        </w:trPr>
        <w:tc>
          <w:tcPr>
            <w:tcW w:w="2686" w:type="dxa"/>
            <w:tcBorders>
              <w:top w:val="single" w:sz="4" w:space="0" w:color="auto"/>
              <w:left w:val="nil"/>
              <w:bottom w:val="nil"/>
              <w:right w:val="nil"/>
            </w:tcBorders>
            <w:shd w:val="clear" w:color="auto" w:fill="auto"/>
            <w:noWrap/>
            <w:vAlign w:val="bottom"/>
            <w:hideMark/>
          </w:tcPr>
          <w:p w:rsidR="009C31DA" w:rsidRPr="009560FB" w:rsidRDefault="00304B01" w:rsidP="009560FB">
            <w:pPr>
              <w:rPr>
                <w:color w:val="000000"/>
              </w:rPr>
            </w:pPr>
            <w:r w:rsidRPr="009560FB">
              <w:rPr>
                <w:color w:val="000000"/>
              </w:rPr>
              <w:t>Severe demage</w:t>
            </w:r>
          </w:p>
        </w:tc>
        <w:tc>
          <w:tcPr>
            <w:tcW w:w="960" w:type="dxa"/>
            <w:tcBorders>
              <w:top w:val="single" w:sz="4" w:space="0" w:color="auto"/>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0</w:t>
            </w:r>
          </w:p>
        </w:tc>
        <w:tc>
          <w:tcPr>
            <w:tcW w:w="960" w:type="dxa"/>
            <w:tcBorders>
              <w:top w:val="single" w:sz="4" w:space="0" w:color="auto"/>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0</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304B01" w:rsidP="009560FB">
            <w:pPr>
              <w:rPr>
                <w:color w:val="000000"/>
              </w:rPr>
            </w:pPr>
            <w:r w:rsidRPr="009560FB">
              <w:rPr>
                <w:color w:val="000000"/>
              </w:rPr>
              <w:t>Moderate demages</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22</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31.43</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304B01" w:rsidP="009560FB">
            <w:pPr>
              <w:rPr>
                <w:color w:val="000000"/>
              </w:rPr>
            </w:pPr>
            <w:r w:rsidRPr="009560FB">
              <w:rPr>
                <w:color w:val="000000"/>
              </w:rPr>
              <w:t>Minor demages</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34</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48.57</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304B01" w:rsidP="009560FB">
            <w:pPr>
              <w:rPr>
                <w:color w:val="000000"/>
              </w:rPr>
            </w:pPr>
            <w:r w:rsidRPr="009560FB">
              <w:rPr>
                <w:color w:val="000000"/>
              </w:rPr>
              <w:t>Complete intelctual function</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14</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20</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304B01" w:rsidP="009560FB">
            <w:pPr>
              <w:rPr>
                <w:b/>
                <w:bCs/>
                <w:color w:val="000000"/>
              </w:rPr>
            </w:pPr>
            <w:r w:rsidRPr="009560FB">
              <w:rPr>
                <w:b/>
                <w:bCs/>
                <w:color w:val="000000"/>
              </w:rPr>
              <w:t>Nutritional status</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 </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304B01" w:rsidP="009560FB">
            <w:pPr>
              <w:rPr>
                <w:color w:val="000000"/>
              </w:rPr>
            </w:pPr>
            <w:r w:rsidRPr="009560FB">
              <w:rPr>
                <w:color w:val="000000"/>
              </w:rPr>
              <w:t>Less</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8</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11.43</w:t>
            </w:r>
          </w:p>
        </w:tc>
      </w:tr>
      <w:tr w:rsidR="009C31DA" w:rsidRPr="009560FB" w:rsidTr="00304B01">
        <w:trPr>
          <w:trHeight w:val="300"/>
          <w:jc w:val="center"/>
        </w:trPr>
        <w:tc>
          <w:tcPr>
            <w:tcW w:w="2686" w:type="dxa"/>
            <w:tcBorders>
              <w:top w:val="nil"/>
              <w:left w:val="nil"/>
              <w:bottom w:val="nil"/>
              <w:right w:val="nil"/>
            </w:tcBorders>
            <w:shd w:val="clear" w:color="auto" w:fill="auto"/>
            <w:noWrap/>
            <w:vAlign w:val="bottom"/>
            <w:hideMark/>
          </w:tcPr>
          <w:p w:rsidR="009C31DA" w:rsidRPr="009560FB" w:rsidRDefault="00304B01" w:rsidP="009560FB">
            <w:pPr>
              <w:rPr>
                <w:color w:val="000000"/>
              </w:rPr>
            </w:pPr>
            <w:r w:rsidRPr="009560FB">
              <w:rPr>
                <w:color w:val="000000"/>
              </w:rPr>
              <w:t>Enough</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28</w:t>
            </w:r>
          </w:p>
        </w:tc>
        <w:tc>
          <w:tcPr>
            <w:tcW w:w="960" w:type="dxa"/>
            <w:tcBorders>
              <w:top w:val="nil"/>
              <w:left w:val="nil"/>
              <w:bottom w:val="nil"/>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40.00</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304B01" w:rsidP="009560FB">
            <w:pPr>
              <w:rPr>
                <w:color w:val="000000"/>
              </w:rPr>
            </w:pPr>
            <w:r w:rsidRPr="009560FB">
              <w:rPr>
                <w:color w:val="000000"/>
              </w:rPr>
              <w:t>Good</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34</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color w:val="000000"/>
              </w:rPr>
            </w:pPr>
            <w:r w:rsidRPr="009560FB">
              <w:rPr>
                <w:color w:val="000000"/>
              </w:rPr>
              <w:t>48.57</w:t>
            </w:r>
          </w:p>
        </w:tc>
      </w:tr>
      <w:tr w:rsidR="009C31DA" w:rsidRPr="009560FB" w:rsidTr="00304B01">
        <w:trPr>
          <w:trHeight w:val="300"/>
          <w:jc w:val="center"/>
        </w:trPr>
        <w:tc>
          <w:tcPr>
            <w:tcW w:w="2686" w:type="dxa"/>
            <w:tcBorders>
              <w:top w:val="nil"/>
              <w:left w:val="nil"/>
              <w:bottom w:val="single" w:sz="4" w:space="0" w:color="auto"/>
              <w:right w:val="nil"/>
            </w:tcBorders>
            <w:shd w:val="clear" w:color="auto" w:fill="auto"/>
            <w:noWrap/>
            <w:vAlign w:val="bottom"/>
            <w:hideMark/>
          </w:tcPr>
          <w:p w:rsidR="009C31DA" w:rsidRPr="009560FB" w:rsidRDefault="00304B01" w:rsidP="009560FB">
            <w:pPr>
              <w:rPr>
                <w:b/>
                <w:bCs/>
                <w:color w:val="000000"/>
              </w:rPr>
            </w:pPr>
            <w:r w:rsidRPr="009560FB">
              <w:rPr>
                <w:b/>
                <w:bCs/>
                <w:color w:val="000000"/>
              </w:rPr>
              <w:t>Total</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70</w:t>
            </w:r>
          </w:p>
        </w:tc>
        <w:tc>
          <w:tcPr>
            <w:tcW w:w="960" w:type="dxa"/>
            <w:tcBorders>
              <w:top w:val="nil"/>
              <w:left w:val="nil"/>
              <w:bottom w:val="single" w:sz="4" w:space="0" w:color="auto"/>
              <w:right w:val="nil"/>
            </w:tcBorders>
            <w:shd w:val="clear" w:color="auto" w:fill="auto"/>
            <w:noWrap/>
            <w:vAlign w:val="bottom"/>
            <w:hideMark/>
          </w:tcPr>
          <w:p w:rsidR="009C31DA" w:rsidRPr="009560FB" w:rsidRDefault="009C31DA" w:rsidP="009560FB">
            <w:pPr>
              <w:jc w:val="center"/>
              <w:rPr>
                <w:b/>
                <w:bCs/>
                <w:color w:val="000000"/>
              </w:rPr>
            </w:pPr>
            <w:r w:rsidRPr="009560FB">
              <w:rPr>
                <w:b/>
                <w:bCs/>
                <w:color w:val="000000"/>
              </w:rPr>
              <w:t>100</w:t>
            </w:r>
          </w:p>
        </w:tc>
      </w:tr>
    </w:tbl>
    <w:p w:rsidR="009C31DA" w:rsidRDefault="009C31DA" w:rsidP="00904D6D">
      <w:pPr>
        <w:rPr>
          <w:b/>
          <w:bCs/>
        </w:rPr>
      </w:pPr>
    </w:p>
    <w:p w:rsidR="00904D6D" w:rsidRDefault="00F17546" w:rsidP="00E371EA">
      <w:pPr>
        <w:ind w:firstLine="720"/>
        <w:jc w:val="both"/>
        <w:rPr>
          <w:b/>
          <w:bCs/>
        </w:rPr>
      </w:pPr>
      <w:r w:rsidRPr="00F17546">
        <w:rPr>
          <w:bCs/>
        </w:rPr>
        <w:t>In table 1 It is seen that most of the elderly in Jelok village is 60-69 years old with a percentage of 62.86%, male gender 36 people 51.43%. The level of elderly self-reliance on daily activities with total dependence amounting to 8 people 11.43%, the category depends partly and independently has a difference that is not too large, which is 28 people with a portion dependent 40%, while the self has a greater amount than that depends partly 34 people 48.57%.</w:t>
      </w:r>
      <w:r>
        <w:rPr>
          <w:bCs/>
        </w:rPr>
        <w:t xml:space="preserve"> </w:t>
      </w:r>
      <w:r w:rsidR="00304A60">
        <w:rPr>
          <w:bCs/>
        </w:rPr>
        <w:t>Elderly intellectual functions</w:t>
      </w:r>
      <w:r w:rsidRPr="00F17546">
        <w:rPr>
          <w:bCs/>
        </w:rPr>
        <w:t xml:space="preserve"> in the category of mild damage amounted to 34 people with a percentage of 48.57% and the lowest with a damage status of 22 people 31.43%. The message of the elderly nutritional status amounted to 34 people 48.57% with good nutritional status, the status of nutrition is enough with the amount of 28 people 40% and nutritional status of less 8 people 11.43%.</w:t>
      </w:r>
      <w:r w:rsidR="008226A2">
        <w:rPr>
          <w:b/>
          <w:bCs/>
        </w:rPr>
        <w:t xml:space="preserve"> </w:t>
      </w:r>
    </w:p>
    <w:p w:rsidR="005D19AF" w:rsidRDefault="005D19AF" w:rsidP="00E371EA">
      <w:pPr>
        <w:ind w:firstLine="720"/>
        <w:jc w:val="both"/>
        <w:rPr>
          <w:b/>
          <w:bCs/>
        </w:rPr>
      </w:pPr>
    </w:p>
    <w:p w:rsidR="005D19AF" w:rsidRPr="00E371EA" w:rsidRDefault="005D19AF" w:rsidP="005D19AF">
      <w:pPr>
        <w:jc w:val="both"/>
        <w:rPr>
          <w:bCs/>
        </w:rPr>
      </w:pPr>
      <w:r>
        <w:rPr>
          <w:b/>
          <w:bCs/>
        </w:rPr>
        <w:t>3.2</w:t>
      </w:r>
      <w:r w:rsidRPr="005D19AF">
        <w:t xml:space="preserve"> </w:t>
      </w:r>
      <w:r w:rsidRPr="005D19AF">
        <w:rPr>
          <w:b/>
        </w:rPr>
        <w:t>Result Path Analysis</w:t>
      </w:r>
    </w:p>
    <w:p w:rsidR="00657A9C" w:rsidRPr="00657A9C" w:rsidRDefault="00657A9C" w:rsidP="00E371EA">
      <w:pPr>
        <w:ind w:firstLine="720"/>
        <w:rPr>
          <w:bCs/>
        </w:rPr>
      </w:pPr>
      <w:r w:rsidRPr="00657A9C">
        <w:rPr>
          <w:bCs/>
        </w:rPr>
        <w:t xml:space="preserve">In order to test the amount of direct or indirect contributions manifested by the line coefficient on each track diagram of the causal relationship </w:t>
      </w:r>
      <w:r w:rsidR="00304A60">
        <w:rPr>
          <w:bCs/>
        </w:rPr>
        <w:t>between the age variable, intellectual function</w:t>
      </w:r>
      <w:r w:rsidRPr="00657A9C">
        <w:rPr>
          <w:bCs/>
        </w:rPr>
        <w:t xml:space="preserve"> to activity and its impact on elderly nutritional status using Path Analysis.   </w:t>
      </w:r>
    </w:p>
    <w:p w:rsidR="00787468" w:rsidRDefault="00787468" w:rsidP="00657A9C">
      <w:pPr>
        <w:ind w:firstLine="720"/>
        <w:jc w:val="center"/>
        <w:rPr>
          <w:bCs/>
        </w:rPr>
      </w:pPr>
    </w:p>
    <w:p w:rsidR="00657A9C" w:rsidRPr="00657A9C" w:rsidRDefault="00713E69" w:rsidP="00657A9C">
      <w:pPr>
        <w:ind w:firstLine="720"/>
        <w:jc w:val="center"/>
        <w:rPr>
          <w:bCs/>
          <w:lang w:val="id-ID"/>
        </w:rPr>
      </w:pPr>
      <w:r>
        <w:rPr>
          <w:bCs/>
          <w:lang w:val="id-ID"/>
        </w:rPr>
        <w:t xml:space="preserve">Table 2 </w:t>
      </w:r>
      <w:r>
        <w:rPr>
          <w:bCs/>
        </w:rPr>
        <w:t>R</w:t>
      </w:r>
      <w:r w:rsidR="00657A9C" w:rsidRPr="00657A9C">
        <w:rPr>
          <w:bCs/>
          <w:lang w:val="id-ID"/>
        </w:rPr>
        <w:t>egression Model I</w:t>
      </w:r>
    </w:p>
    <w:p w:rsidR="000F279B" w:rsidRPr="00657A9C" w:rsidRDefault="00304A60" w:rsidP="00657A9C">
      <w:pPr>
        <w:ind w:firstLine="720"/>
        <w:jc w:val="center"/>
        <w:rPr>
          <w:bCs/>
        </w:rPr>
      </w:pPr>
      <w:r>
        <w:rPr>
          <w:bCs/>
          <w:lang w:val="id-ID"/>
        </w:rPr>
        <w:t xml:space="preserve">Age, </w:t>
      </w:r>
      <w:r>
        <w:rPr>
          <w:bCs/>
        </w:rPr>
        <w:t>intellectual function</w:t>
      </w:r>
      <w:r w:rsidR="00657A9C" w:rsidRPr="00657A9C">
        <w:rPr>
          <w:bCs/>
          <w:lang w:val="id-ID"/>
        </w:rPr>
        <w:t xml:space="preserve"> and activity affect nutritional status</w:t>
      </w:r>
    </w:p>
    <w:p w:rsidR="000F279B" w:rsidRDefault="000F279B" w:rsidP="00657A9C">
      <w:pPr>
        <w:ind w:firstLine="720"/>
        <w:jc w:val="center"/>
        <w:rPr>
          <w:bCs/>
        </w:rPr>
      </w:pPr>
    </w:p>
    <w:tbl>
      <w:tblPr>
        <w:tblW w:w="8794"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714"/>
        <w:gridCol w:w="709"/>
        <w:gridCol w:w="850"/>
        <w:gridCol w:w="993"/>
        <w:gridCol w:w="992"/>
        <w:gridCol w:w="992"/>
        <w:gridCol w:w="992"/>
        <w:gridCol w:w="709"/>
        <w:gridCol w:w="709"/>
        <w:gridCol w:w="1134"/>
      </w:tblGrid>
      <w:tr w:rsidR="001F282A" w:rsidRPr="00297126" w:rsidTr="00BE571A">
        <w:trPr>
          <w:cantSplit/>
        </w:trPr>
        <w:tc>
          <w:tcPr>
            <w:tcW w:w="714" w:type="dxa"/>
            <w:vMerge w:val="restart"/>
            <w:shd w:val="clear" w:color="auto" w:fill="FFFFFF"/>
            <w:vAlign w:val="bottom"/>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Model</w:t>
            </w:r>
          </w:p>
        </w:tc>
        <w:tc>
          <w:tcPr>
            <w:tcW w:w="709" w:type="dxa"/>
            <w:vMerge w:val="restart"/>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R</w:t>
            </w:r>
          </w:p>
        </w:tc>
        <w:tc>
          <w:tcPr>
            <w:tcW w:w="850" w:type="dxa"/>
            <w:vMerge w:val="restart"/>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R Square</w:t>
            </w:r>
          </w:p>
        </w:tc>
        <w:tc>
          <w:tcPr>
            <w:tcW w:w="993" w:type="dxa"/>
            <w:vMerge w:val="restart"/>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Adjusted R Square</w:t>
            </w:r>
          </w:p>
        </w:tc>
        <w:tc>
          <w:tcPr>
            <w:tcW w:w="992" w:type="dxa"/>
            <w:vMerge w:val="restart"/>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Std. Error of the Estimate</w:t>
            </w:r>
          </w:p>
        </w:tc>
        <w:tc>
          <w:tcPr>
            <w:tcW w:w="4536" w:type="dxa"/>
            <w:gridSpan w:val="5"/>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Change Statistics</w:t>
            </w:r>
          </w:p>
        </w:tc>
      </w:tr>
      <w:tr w:rsidR="001F282A" w:rsidRPr="00297126" w:rsidTr="00BE571A">
        <w:trPr>
          <w:cantSplit/>
        </w:trPr>
        <w:tc>
          <w:tcPr>
            <w:tcW w:w="714" w:type="dxa"/>
            <w:vMerge/>
            <w:shd w:val="clear" w:color="auto" w:fill="FFFFFF"/>
            <w:vAlign w:val="bottom"/>
          </w:tcPr>
          <w:p w:rsidR="001F282A" w:rsidRPr="00297126" w:rsidRDefault="001F282A" w:rsidP="00BE571A">
            <w:pPr>
              <w:autoSpaceDE w:val="0"/>
              <w:autoSpaceDN w:val="0"/>
              <w:adjustRightInd w:val="0"/>
              <w:rPr>
                <w:color w:val="000000" w:themeColor="text1"/>
              </w:rPr>
            </w:pPr>
          </w:p>
        </w:tc>
        <w:tc>
          <w:tcPr>
            <w:tcW w:w="709" w:type="dxa"/>
            <w:vMerge/>
            <w:shd w:val="clear" w:color="auto" w:fill="FFFFFF"/>
            <w:vAlign w:val="bottom"/>
          </w:tcPr>
          <w:p w:rsidR="001F282A" w:rsidRPr="00297126" w:rsidRDefault="001F282A" w:rsidP="00BE571A">
            <w:pPr>
              <w:autoSpaceDE w:val="0"/>
              <w:autoSpaceDN w:val="0"/>
              <w:adjustRightInd w:val="0"/>
              <w:rPr>
                <w:color w:val="000000" w:themeColor="text1"/>
              </w:rPr>
            </w:pPr>
          </w:p>
        </w:tc>
        <w:tc>
          <w:tcPr>
            <w:tcW w:w="850" w:type="dxa"/>
            <w:vMerge/>
            <w:shd w:val="clear" w:color="auto" w:fill="FFFFFF"/>
            <w:vAlign w:val="bottom"/>
          </w:tcPr>
          <w:p w:rsidR="001F282A" w:rsidRPr="00297126" w:rsidRDefault="001F282A" w:rsidP="00BE571A">
            <w:pPr>
              <w:autoSpaceDE w:val="0"/>
              <w:autoSpaceDN w:val="0"/>
              <w:adjustRightInd w:val="0"/>
              <w:rPr>
                <w:color w:val="000000" w:themeColor="text1"/>
              </w:rPr>
            </w:pPr>
          </w:p>
        </w:tc>
        <w:tc>
          <w:tcPr>
            <w:tcW w:w="993" w:type="dxa"/>
            <w:vMerge/>
            <w:shd w:val="clear" w:color="auto" w:fill="FFFFFF"/>
            <w:vAlign w:val="bottom"/>
          </w:tcPr>
          <w:p w:rsidR="001F282A" w:rsidRPr="00297126" w:rsidRDefault="001F282A" w:rsidP="00BE571A">
            <w:pPr>
              <w:autoSpaceDE w:val="0"/>
              <w:autoSpaceDN w:val="0"/>
              <w:adjustRightInd w:val="0"/>
              <w:rPr>
                <w:color w:val="000000" w:themeColor="text1"/>
              </w:rPr>
            </w:pPr>
          </w:p>
        </w:tc>
        <w:tc>
          <w:tcPr>
            <w:tcW w:w="992" w:type="dxa"/>
            <w:vMerge/>
            <w:shd w:val="clear" w:color="auto" w:fill="FFFFFF"/>
            <w:vAlign w:val="bottom"/>
          </w:tcPr>
          <w:p w:rsidR="001F282A" w:rsidRPr="00297126" w:rsidRDefault="001F282A" w:rsidP="00BE571A">
            <w:pPr>
              <w:autoSpaceDE w:val="0"/>
              <w:autoSpaceDN w:val="0"/>
              <w:adjustRightInd w:val="0"/>
              <w:rPr>
                <w:color w:val="000000" w:themeColor="text1"/>
              </w:rPr>
            </w:pPr>
          </w:p>
        </w:tc>
        <w:tc>
          <w:tcPr>
            <w:tcW w:w="992" w:type="dxa"/>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R Square Change</w:t>
            </w:r>
          </w:p>
        </w:tc>
        <w:tc>
          <w:tcPr>
            <w:tcW w:w="992" w:type="dxa"/>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F Change</w:t>
            </w:r>
          </w:p>
        </w:tc>
        <w:tc>
          <w:tcPr>
            <w:tcW w:w="709" w:type="dxa"/>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df1</w:t>
            </w:r>
          </w:p>
        </w:tc>
        <w:tc>
          <w:tcPr>
            <w:tcW w:w="709" w:type="dxa"/>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df2</w:t>
            </w:r>
          </w:p>
        </w:tc>
        <w:tc>
          <w:tcPr>
            <w:tcW w:w="1134" w:type="dxa"/>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Sig. F Change</w:t>
            </w:r>
          </w:p>
        </w:tc>
      </w:tr>
      <w:tr w:rsidR="001F282A" w:rsidRPr="00297126" w:rsidTr="00BE571A">
        <w:trPr>
          <w:cantSplit/>
        </w:trPr>
        <w:tc>
          <w:tcPr>
            <w:tcW w:w="714" w:type="dxa"/>
            <w:shd w:val="clear" w:color="auto" w:fill="E0E0E0"/>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1</w:t>
            </w:r>
          </w:p>
        </w:tc>
        <w:tc>
          <w:tcPr>
            <w:tcW w:w="709"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.906</w:t>
            </w:r>
            <w:r w:rsidRPr="00297126">
              <w:rPr>
                <w:color w:val="000000" w:themeColor="text1"/>
                <w:vertAlign w:val="superscript"/>
              </w:rPr>
              <w:t>a</w:t>
            </w:r>
          </w:p>
        </w:tc>
        <w:tc>
          <w:tcPr>
            <w:tcW w:w="850"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.821</w:t>
            </w:r>
          </w:p>
        </w:tc>
        <w:tc>
          <w:tcPr>
            <w:tcW w:w="993"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.810</w:t>
            </w:r>
          </w:p>
        </w:tc>
        <w:tc>
          <w:tcPr>
            <w:tcW w:w="992"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.307</w:t>
            </w:r>
          </w:p>
        </w:tc>
        <w:tc>
          <w:tcPr>
            <w:tcW w:w="992"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.821</w:t>
            </w:r>
          </w:p>
        </w:tc>
        <w:tc>
          <w:tcPr>
            <w:tcW w:w="992"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74.343</w:t>
            </w:r>
          </w:p>
        </w:tc>
        <w:tc>
          <w:tcPr>
            <w:tcW w:w="709"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4</w:t>
            </w:r>
          </w:p>
        </w:tc>
        <w:tc>
          <w:tcPr>
            <w:tcW w:w="709"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65</w:t>
            </w:r>
          </w:p>
        </w:tc>
        <w:tc>
          <w:tcPr>
            <w:tcW w:w="1134" w:type="dxa"/>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.000</w:t>
            </w:r>
          </w:p>
        </w:tc>
      </w:tr>
      <w:tr w:rsidR="001F282A" w:rsidRPr="00297126" w:rsidTr="00BE571A">
        <w:trPr>
          <w:cantSplit/>
        </w:trPr>
        <w:tc>
          <w:tcPr>
            <w:tcW w:w="8794" w:type="dxa"/>
            <w:gridSpan w:val="10"/>
            <w:shd w:val="clear" w:color="auto" w:fill="FFFFFF"/>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a. Pre</w:t>
            </w:r>
            <w:r w:rsidR="00304A60">
              <w:rPr>
                <w:color w:val="000000" w:themeColor="text1"/>
              </w:rPr>
              <w:t>dictors: (Constant), Age, intellectual function</w:t>
            </w:r>
            <w:r w:rsidRPr="00297126">
              <w:rPr>
                <w:color w:val="000000" w:themeColor="text1"/>
              </w:rPr>
              <w:t>, activity</w:t>
            </w:r>
          </w:p>
        </w:tc>
      </w:tr>
      <w:tr w:rsidR="001F282A" w:rsidRPr="00297126" w:rsidTr="00BE571A">
        <w:trPr>
          <w:cantSplit/>
        </w:trPr>
        <w:tc>
          <w:tcPr>
            <w:tcW w:w="8794" w:type="dxa"/>
            <w:gridSpan w:val="10"/>
            <w:shd w:val="clear" w:color="auto" w:fill="FFFFFF"/>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b. Dependent Variable: nutritional status</w:t>
            </w:r>
          </w:p>
        </w:tc>
      </w:tr>
    </w:tbl>
    <w:p w:rsidR="009560FB" w:rsidRDefault="009560FB" w:rsidP="001F282A">
      <w:pPr>
        <w:jc w:val="both"/>
        <w:rPr>
          <w:bCs/>
        </w:rPr>
      </w:pPr>
    </w:p>
    <w:p w:rsidR="00657A9C" w:rsidRDefault="001F282A" w:rsidP="001F282A">
      <w:pPr>
        <w:jc w:val="both"/>
        <w:rPr>
          <w:bCs/>
        </w:rPr>
      </w:pPr>
      <w:r w:rsidRPr="001F282A">
        <w:rPr>
          <w:bCs/>
        </w:rPr>
        <w:lastRenderedPageBreak/>
        <w:t>The regression results of Mo</w:t>
      </w:r>
      <w:r w:rsidR="00304A60">
        <w:rPr>
          <w:bCs/>
        </w:rPr>
        <w:t>del I in the table 2 age, intellectual functions</w:t>
      </w:r>
      <w:r w:rsidRPr="001F282A">
        <w:rPr>
          <w:bCs/>
        </w:rPr>
        <w:t xml:space="preserve"> and activity significant effect on nutritional status. The magnitude of the value of R square contained in table 2 is 0.821 This indicates that the</w:t>
      </w:r>
      <w:r w:rsidR="009560FB">
        <w:rPr>
          <w:bCs/>
        </w:rPr>
        <w:t xml:space="preserve"> </w:t>
      </w:r>
      <w:r w:rsidRPr="001F282A">
        <w:rPr>
          <w:bCs/>
        </w:rPr>
        <w:t>contribution or donation o</w:t>
      </w:r>
      <w:r w:rsidR="00304A60">
        <w:rPr>
          <w:bCs/>
        </w:rPr>
        <w:t xml:space="preserve">f the influence of age, </w:t>
      </w:r>
      <w:r w:rsidR="009560FB">
        <w:rPr>
          <w:bCs/>
        </w:rPr>
        <w:t>intellectual func</w:t>
      </w:r>
      <w:r w:rsidR="00304A60">
        <w:rPr>
          <w:bCs/>
        </w:rPr>
        <w:t>tions</w:t>
      </w:r>
      <w:r w:rsidRPr="001F282A">
        <w:rPr>
          <w:bCs/>
        </w:rPr>
        <w:t xml:space="preserve"> and activity on the nutritional status of 82.1%, while the remaining 17.9% is the contribution of other variables not included in this study</w:t>
      </w:r>
    </w:p>
    <w:p w:rsidR="00787468" w:rsidRDefault="00787468" w:rsidP="001F282A">
      <w:pPr>
        <w:ind w:firstLine="720"/>
        <w:jc w:val="center"/>
        <w:rPr>
          <w:bCs/>
        </w:rPr>
      </w:pPr>
    </w:p>
    <w:p w:rsidR="001F282A" w:rsidRPr="001F282A" w:rsidRDefault="001F282A" w:rsidP="001F282A">
      <w:pPr>
        <w:ind w:firstLine="720"/>
        <w:jc w:val="center"/>
        <w:rPr>
          <w:bCs/>
        </w:rPr>
      </w:pPr>
      <w:r>
        <w:rPr>
          <w:bCs/>
        </w:rPr>
        <w:t xml:space="preserve">Table 3. </w:t>
      </w:r>
      <w:r w:rsidRPr="001F282A">
        <w:rPr>
          <w:bCs/>
        </w:rPr>
        <w:t>Analysis</w:t>
      </w:r>
      <w:r>
        <w:rPr>
          <w:bCs/>
        </w:rPr>
        <w:t xml:space="preserve"> Path T</w:t>
      </w:r>
      <w:r w:rsidRPr="001F282A">
        <w:rPr>
          <w:bCs/>
        </w:rPr>
        <w:t>est Result</w:t>
      </w:r>
    </w:p>
    <w:p w:rsidR="00657A9C" w:rsidRDefault="00304A60" w:rsidP="001F282A">
      <w:pPr>
        <w:ind w:firstLine="720"/>
        <w:jc w:val="center"/>
        <w:rPr>
          <w:bCs/>
        </w:rPr>
      </w:pPr>
      <w:r>
        <w:rPr>
          <w:bCs/>
        </w:rPr>
        <w:t>Age, intellectual function</w:t>
      </w:r>
      <w:r w:rsidR="001F282A" w:rsidRPr="001F282A">
        <w:rPr>
          <w:bCs/>
        </w:rPr>
        <w:t xml:space="preserve"> and activity affect nutritional status</w:t>
      </w:r>
    </w:p>
    <w:tbl>
      <w:tblPr>
        <w:tblW w:w="6805"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
        <w:gridCol w:w="1985"/>
        <w:gridCol w:w="567"/>
        <w:gridCol w:w="992"/>
        <w:gridCol w:w="1276"/>
        <w:gridCol w:w="851"/>
        <w:gridCol w:w="993"/>
      </w:tblGrid>
      <w:tr w:rsidR="001F282A" w:rsidRPr="00297126" w:rsidTr="00377A06">
        <w:trPr>
          <w:cantSplit/>
        </w:trPr>
        <w:tc>
          <w:tcPr>
            <w:tcW w:w="2126" w:type="dxa"/>
            <w:gridSpan w:val="2"/>
            <w:vMerge w:val="restart"/>
            <w:tcBorders>
              <w:top w:val="single" w:sz="4" w:space="0" w:color="auto"/>
              <w:left w:val="nil"/>
              <w:bottom w:val="single" w:sz="4" w:space="0" w:color="auto"/>
              <w:right w:val="nil"/>
            </w:tcBorders>
            <w:shd w:val="clear" w:color="auto" w:fill="FFFFFF"/>
            <w:vAlign w:val="bottom"/>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Model</w:t>
            </w:r>
          </w:p>
        </w:tc>
        <w:tc>
          <w:tcPr>
            <w:tcW w:w="1559" w:type="dxa"/>
            <w:gridSpan w:val="2"/>
            <w:tcBorders>
              <w:top w:val="single" w:sz="4" w:space="0" w:color="auto"/>
              <w:left w:val="nil"/>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Unstandardized Coefficients</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Standardized Coefficients</w:t>
            </w:r>
          </w:p>
        </w:tc>
        <w:tc>
          <w:tcPr>
            <w:tcW w:w="851" w:type="dxa"/>
            <w:vMerge w:val="restart"/>
            <w:tcBorders>
              <w:top w:val="single" w:sz="4" w:space="0" w:color="auto"/>
              <w:left w:val="single" w:sz="8" w:space="0" w:color="E0E0E0"/>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T</w:t>
            </w:r>
          </w:p>
        </w:tc>
        <w:tc>
          <w:tcPr>
            <w:tcW w:w="993" w:type="dxa"/>
            <w:vMerge w:val="restart"/>
            <w:tcBorders>
              <w:top w:val="single" w:sz="4" w:space="0" w:color="auto"/>
              <w:left w:val="single" w:sz="8" w:space="0" w:color="E0E0E0"/>
              <w:bottom w:val="single" w:sz="4" w:space="0" w:color="auto"/>
              <w:right w:val="nil"/>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Sig.</w:t>
            </w:r>
          </w:p>
        </w:tc>
      </w:tr>
      <w:tr w:rsidR="001F282A" w:rsidRPr="00297126" w:rsidTr="00377A06">
        <w:trPr>
          <w:cantSplit/>
        </w:trPr>
        <w:tc>
          <w:tcPr>
            <w:tcW w:w="2126" w:type="dxa"/>
            <w:gridSpan w:val="2"/>
            <w:vMerge/>
            <w:tcBorders>
              <w:top w:val="single" w:sz="4" w:space="0" w:color="auto"/>
              <w:left w:val="nil"/>
              <w:bottom w:val="single" w:sz="4" w:space="0" w:color="auto"/>
              <w:right w:val="nil"/>
            </w:tcBorders>
            <w:shd w:val="clear" w:color="auto" w:fill="FFFFFF"/>
            <w:vAlign w:val="bottom"/>
          </w:tcPr>
          <w:p w:rsidR="001F282A" w:rsidRPr="00297126" w:rsidRDefault="001F282A" w:rsidP="00BE571A">
            <w:pPr>
              <w:autoSpaceDE w:val="0"/>
              <w:autoSpaceDN w:val="0"/>
              <w:adjustRightInd w:val="0"/>
              <w:rPr>
                <w:color w:val="000000" w:themeColor="text1"/>
              </w:rPr>
            </w:pPr>
          </w:p>
        </w:tc>
        <w:tc>
          <w:tcPr>
            <w:tcW w:w="567" w:type="dxa"/>
            <w:tcBorders>
              <w:top w:val="single" w:sz="4" w:space="0" w:color="auto"/>
              <w:left w:val="nil"/>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B</w:t>
            </w:r>
          </w:p>
        </w:tc>
        <w:tc>
          <w:tcPr>
            <w:tcW w:w="992" w:type="dxa"/>
            <w:tcBorders>
              <w:top w:val="single" w:sz="4" w:space="0" w:color="auto"/>
              <w:left w:val="single" w:sz="8" w:space="0" w:color="E0E0E0"/>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Std. Error</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ind w:left="60" w:right="60"/>
              <w:jc w:val="center"/>
              <w:rPr>
                <w:color w:val="000000" w:themeColor="text1"/>
              </w:rPr>
            </w:pPr>
            <w:r w:rsidRPr="00297126">
              <w:rPr>
                <w:color w:val="000000" w:themeColor="text1"/>
              </w:rPr>
              <w:t>Beta</w:t>
            </w:r>
          </w:p>
        </w:tc>
        <w:tc>
          <w:tcPr>
            <w:tcW w:w="851" w:type="dxa"/>
            <w:vMerge/>
            <w:tcBorders>
              <w:top w:val="single" w:sz="4" w:space="0" w:color="auto"/>
              <w:left w:val="single" w:sz="8" w:space="0" w:color="E0E0E0"/>
              <w:bottom w:val="single" w:sz="4" w:space="0" w:color="auto"/>
              <w:right w:val="single" w:sz="8" w:space="0" w:color="E0E0E0"/>
            </w:tcBorders>
            <w:shd w:val="clear" w:color="auto" w:fill="FFFFFF"/>
            <w:vAlign w:val="bottom"/>
          </w:tcPr>
          <w:p w:rsidR="001F282A" w:rsidRPr="00297126" w:rsidRDefault="001F282A" w:rsidP="00BE571A">
            <w:pPr>
              <w:autoSpaceDE w:val="0"/>
              <w:autoSpaceDN w:val="0"/>
              <w:adjustRightInd w:val="0"/>
              <w:rPr>
                <w:color w:val="000000" w:themeColor="text1"/>
              </w:rPr>
            </w:pPr>
          </w:p>
        </w:tc>
        <w:tc>
          <w:tcPr>
            <w:tcW w:w="993" w:type="dxa"/>
            <w:vMerge/>
            <w:tcBorders>
              <w:top w:val="single" w:sz="4" w:space="0" w:color="auto"/>
              <w:left w:val="single" w:sz="8" w:space="0" w:color="E0E0E0"/>
              <w:bottom w:val="single" w:sz="4" w:space="0" w:color="auto"/>
              <w:right w:val="nil"/>
            </w:tcBorders>
            <w:shd w:val="clear" w:color="auto" w:fill="FFFFFF"/>
            <w:vAlign w:val="bottom"/>
          </w:tcPr>
          <w:p w:rsidR="001F282A" w:rsidRPr="00297126" w:rsidRDefault="001F282A" w:rsidP="00BE571A">
            <w:pPr>
              <w:autoSpaceDE w:val="0"/>
              <w:autoSpaceDN w:val="0"/>
              <w:adjustRightInd w:val="0"/>
              <w:rPr>
                <w:color w:val="000000" w:themeColor="text1"/>
              </w:rPr>
            </w:pPr>
          </w:p>
        </w:tc>
      </w:tr>
      <w:tr w:rsidR="001F282A" w:rsidRPr="00297126" w:rsidTr="00377A06">
        <w:trPr>
          <w:cantSplit/>
        </w:trPr>
        <w:tc>
          <w:tcPr>
            <w:tcW w:w="141" w:type="dxa"/>
            <w:vMerge w:val="restart"/>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1</w:t>
            </w:r>
          </w:p>
        </w:tc>
        <w:tc>
          <w:tcPr>
            <w:tcW w:w="1985" w:type="dxa"/>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(Constant)</w:t>
            </w:r>
          </w:p>
        </w:tc>
        <w:tc>
          <w:tcPr>
            <w:tcW w:w="567" w:type="dxa"/>
            <w:tcBorders>
              <w:top w:val="single" w:sz="4" w:space="0" w:color="auto"/>
              <w:left w:val="nil"/>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-.112</w:t>
            </w:r>
          </w:p>
        </w:tc>
        <w:tc>
          <w:tcPr>
            <w:tcW w:w="992"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.266</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center"/>
          </w:tcPr>
          <w:p w:rsidR="001F282A" w:rsidRPr="00297126" w:rsidRDefault="001F282A" w:rsidP="00BE571A">
            <w:pPr>
              <w:autoSpaceDE w:val="0"/>
              <w:autoSpaceDN w:val="0"/>
              <w:adjustRightInd w:val="0"/>
              <w:rPr>
                <w:color w:val="000000" w:themeColor="text1"/>
              </w:rPr>
            </w:pP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-.420</w:t>
            </w:r>
          </w:p>
        </w:tc>
        <w:tc>
          <w:tcPr>
            <w:tcW w:w="993" w:type="dxa"/>
            <w:tcBorders>
              <w:top w:val="single" w:sz="4" w:space="0" w:color="auto"/>
              <w:left w:val="single" w:sz="8" w:space="0" w:color="E0E0E0"/>
              <w:bottom w:val="single" w:sz="4" w:space="0" w:color="auto"/>
              <w:right w:val="nil"/>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.676</w:t>
            </w:r>
          </w:p>
        </w:tc>
      </w:tr>
      <w:tr w:rsidR="001F282A" w:rsidRPr="00297126" w:rsidTr="00377A06">
        <w:trPr>
          <w:cantSplit/>
        </w:trPr>
        <w:tc>
          <w:tcPr>
            <w:tcW w:w="141" w:type="dxa"/>
            <w:vMerge/>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rPr>
                <w:color w:val="000000" w:themeColor="text1"/>
              </w:rPr>
            </w:pPr>
          </w:p>
        </w:tc>
        <w:tc>
          <w:tcPr>
            <w:tcW w:w="1985" w:type="dxa"/>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 xml:space="preserve">Age </w:t>
            </w:r>
          </w:p>
        </w:tc>
        <w:tc>
          <w:tcPr>
            <w:tcW w:w="567" w:type="dxa"/>
            <w:tcBorders>
              <w:top w:val="single" w:sz="4" w:space="0" w:color="auto"/>
              <w:left w:val="nil"/>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.002</w:t>
            </w:r>
          </w:p>
        </w:tc>
        <w:tc>
          <w:tcPr>
            <w:tcW w:w="992"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.071</w:t>
            </w:r>
          </w:p>
        </w:tc>
        <w:tc>
          <w:tcPr>
            <w:tcW w:w="1276"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.002</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.029</w:t>
            </w:r>
          </w:p>
        </w:tc>
        <w:tc>
          <w:tcPr>
            <w:tcW w:w="993" w:type="dxa"/>
            <w:tcBorders>
              <w:top w:val="single" w:sz="4" w:space="0" w:color="auto"/>
              <w:left w:val="single" w:sz="8" w:space="0" w:color="E0E0E0"/>
              <w:bottom w:val="single" w:sz="4" w:space="0" w:color="auto"/>
              <w:right w:val="nil"/>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.977</w:t>
            </w:r>
          </w:p>
        </w:tc>
      </w:tr>
      <w:tr w:rsidR="001F282A" w:rsidRPr="00297126" w:rsidTr="00377A06">
        <w:trPr>
          <w:cantSplit/>
        </w:trPr>
        <w:tc>
          <w:tcPr>
            <w:tcW w:w="141" w:type="dxa"/>
            <w:vMerge/>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rPr>
                <w:color w:val="000000" w:themeColor="text1"/>
              </w:rPr>
            </w:pPr>
          </w:p>
        </w:tc>
        <w:tc>
          <w:tcPr>
            <w:tcW w:w="1985" w:type="dxa"/>
            <w:tcBorders>
              <w:top w:val="single" w:sz="4" w:space="0" w:color="auto"/>
              <w:left w:val="nil"/>
              <w:bottom w:val="single" w:sz="4" w:space="0" w:color="auto"/>
              <w:right w:val="nil"/>
            </w:tcBorders>
            <w:shd w:val="clear" w:color="auto" w:fill="E0E0E0"/>
          </w:tcPr>
          <w:p w:rsidR="001F282A" w:rsidRPr="00297126" w:rsidRDefault="00304A60" w:rsidP="00BE571A">
            <w:pPr>
              <w:autoSpaceDE w:val="0"/>
              <w:autoSpaceDN w:val="0"/>
              <w:adjustRightInd w:val="0"/>
              <w:ind w:left="60" w:right="60"/>
              <w:rPr>
                <w:color w:val="000000" w:themeColor="text1"/>
              </w:rPr>
            </w:pPr>
            <w:r>
              <w:rPr>
                <w:color w:val="000000" w:themeColor="text1"/>
              </w:rPr>
              <w:t>Intellectual function</w:t>
            </w:r>
          </w:p>
        </w:tc>
        <w:tc>
          <w:tcPr>
            <w:tcW w:w="567" w:type="dxa"/>
            <w:tcBorders>
              <w:top w:val="single" w:sz="4" w:space="0" w:color="auto"/>
              <w:left w:val="nil"/>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.134</w:t>
            </w:r>
          </w:p>
        </w:tc>
        <w:tc>
          <w:tcPr>
            <w:tcW w:w="992"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.060</w:t>
            </w:r>
          </w:p>
        </w:tc>
        <w:tc>
          <w:tcPr>
            <w:tcW w:w="1276"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.136</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2.222</w:t>
            </w:r>
          </w:p>
        </w:tc>
        <w:tc>
          <w:tcPr>
            <w:tcW w:w="993" w:type="dxa"/>
            <w:tcBorders>
              <w:top w:val="single" w:sz="4" w:space="0" w:color="auto"/>
              <w:left w:val="single" w:sz="8" w:space="0" w:color="E0E0E0"/>
              <w:bottom w:val="single" w:sz="4" w:space="0" w:color="auto"/>
              <w:right w:val="nil"/>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.030</w:t>
            </w:r>
          </w:p>
        </w:tc>
      </w:tr>
      <w:tr w:rsidR="001F282A" w:rsidRPr="00297126" w:rsidTr="00377A06">
        <w:trPr>
          <w:cantSplit/>
        </w:trPr>
        <w:tc>
          <w:tcPr>
            <w:tcW w:w="141" w:type="dxa"/>
            <w:vMerge/>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rPr>
                <w:color w:val="000000" w:themeColor="text1"/>
              </w:rPr>
            </w:pPr>
          </w:p>
        </w:tc>
        <w:tc>
          <w:tcPr>
            <w:tcW w:w="1985" w:type="dxa"/>
            <w:tcBorders>
              <w:top w:val="single" w:sz="4" w:space="0" w:color="auto"/>
              <w:left w:val="nil"/>
              <w:bottom w:val="single" w:sz="4" w:space="0" w:color="auto"/>
              <w:right w:val="nil"/>
            </w:tcBorders>
            <w:shd w:val="clear" w:color="auto" w:fill="E0E0E0"/>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 xml:space="preserve">Activity </w:t>
            </w:r>
          </w:p>
        </w:tc>
        <w:tc>
          <w:tcPr>
            <w:tcW w:w="567" w:type="dxa"/>
            <w:tcBorders>
              <w:top w:val="single" w:sz="4" w:space="0" w:color="auto"/>
              <w:left w:val="nil"/>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.858</w:t>
            </w:r>
          </w:p>
        </w:tc>
        <w:tc>
          <w:tcPr>
            <w:tcW w:w="992"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.059</w:t>
            </w:r>
          </w:p>
        </w:tc>
        <w:tc>
          <w:tcPr>
            <w:tcW w:w="1276"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.841</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14.494</w:t>
            </w:r>
          </w:p>
        </w:tc>
        <w:tc>
          <w:tcPr>
            <w:tcW w:w="993" w:type="dxa"/>
            <w:tcBorders>
              <w:top w:val="single" w:sz="4" w:space="0" w:color="auto"/>
              <w:left w:val="single" w:sz="8" w:space="0" w:color="E0E0E0"/>
              <w:bottom w:val="single" w:sz="4" w:space="0" w:color="auto"/>
              <w:right w:val="nil"/>
            </w:tcBorders>
            <w:shd w:val="clear" w:color="auto" w:fill="FFFFFF"/>
          </w:tcPr>
          <w:p w:rsidR="001F282A" w:rsidRPr="00297126" w:rsidRDefault="001F282A" w:rsidP="00BE571A">
            <w:pPr>
              <w:autoSpaceDE w:val="0"/>
              <w:autoSpaceDN w:val="0"/>
              <w:adjustRightInd w:val="0"/>
              <w:ind w:left="60" w:right="60"/>
              <w:jc w:val="right"/>
              <w:rPr>
                <w:color w:val="000000" w:themeColor="text1"/>
              </w:rPr>
            </w:pPr>
            <w:r w:rsidRPr="00297126">
              <w:rPr>
                <w:color w:val="000000" w:themeColor="text1"/>
              </w:rPr>
              <w:t>.000</w:t>
            </w:r>
          </w:p>
        </w:tc>
      </w:tr>
      <w:tr w:rsidR="001F282A" w:rsidRPr="00297126" w:rsidTr="00377A06">
        <w:trPr>
          <w:cantSplit/>
        </w:trPr>
        <w:tc>
          <w:tcPr>
            <w:tcW w:w="6805" w:type="dxa"/>
            <w:gridSpan w:val="7"/>
            <w:tcBorders>
              <w:top w:val="single" w:sz="4" w:space="0" w:color="auto"/>
              <w:left w:val="nil"/>
              <w:bottom w:val="nil"/>
              <w:right w:val="nil"/>
            </w:tcBorders>
            <w:shd w:val="clear" w:color="auto" w:fill="FFFFFF"/>
          </w:tcPr>
          <w:p w:rsidR="001F282A" w:rsidRPr="00297126" w:rsidRDefault="001F282A" w:rsidP="00BE571A">
            <w:pPr>
              <w:autoSpaceDE w:val="0"/>
              <w:autoSpaceDN w:val="0"/>
              <w:adjustRightInd w:val="0"/>
              <w:ind w:left="60" w:right="60"/>
              <w:rPr>
                <w:color w:val="000000" w:themeColor="text1"/>
              </w:rPr>
            </w:pPr>
            <w:r w:rsidRPr="00297126">
              <w:rPr>
                <w:color w:val="000000" w:themeColor="text1"/>
              </w:rPr>
              <w:t>a. Dependent Variable: nutritional status</w:t>
            </w:r>
          </w:p>
        </w:tc>
      </w:tr>
    </w:tbl>
    <w:p w:rsidR="00123F0E" w:rsidRDefault="001F282A" w:rsidP="00713E69">
      <w:pPr>
        <w:jc w:val="both"/>
        <w:rPr>
          <w:bCs/>
        </w:rPr>
      </w:pPr>
      <w:r w:rsidRPr="001F282A">
        <w:rPr>
          <w:bCs/>
        </w:rPr>
        <w:t>Out put regression model I on the Table 3 section. It can be known that the significance value in the age variable = 0977 &gt; of 0.05, the result is a winning that the age has no effect on the nutritional status, whi</w:t>
      </w:r>
      <w:r w:rsidR="009560FB">
        <w:rPr>
          <w:bCs/>
        </w:rPr>
        <w:t>le intellectual function</w:t>
      </w:r>
      <w:r w:rsidRPr="001F282A">
        <w:rPr>
          <w:bCs/>
        </w:rPr>
        <w:t xml:space="preserve"> Vareabel = 0.001 and the activity of &lt; 0.05, th</w:t>
      </w:r>
      <w:r w:rsidR="009560FB">
        <w:rPr>
          <w:bCs/>
        </w:rPr>
        <w:t>ese results indicate that intellectual functions</w:t>
      </w:r>
      <w:r w:rsidRPr="001F282A">
        <w:rPr>
          <w:bCs/>
        </w:rPr>
        <w:t xml:space="preserve"> and activity are influential on the nutritional status.</w:t>
      </w:r>
    </w:p>
    <w:p w:rsidR="00385B67" w:rsidRPr="00385B67" w:rsidRDefault="00385B67" w:rsidP="00385B67">
      <w:pPr>
        <w:ind w:firstLine="720"/>
        <w:jc w:val="center"/>
        <w:rPr>
          <w:bCs/>
        </w:rPr>
      </w:pPr>
      <w:r w:rsidRPr="00385B67">
        <w:rPr>
          <w:bCs/>
        </w:rPr>
        <w:t>Table 4. Regression Model II</w:t>
      </w:r>
    </w:p>
    <w:p w:rsidR="00385B67" w:rsidRDefault="009560FB" w:rsidP="00123F0E">
      <w:pPr>
        <w:ind w:firstLine="720"/>
        <w:jc w:val="center"/>
        <w:rPr>
          <w:bCs/>
        </w:rPr>
      </w:pPr>
      <w:r>
        <w:rPr>
          <w:bCs/>
        </w:rPr>
        <w:t>Age,</w:t>
      </w:r>
      <w:r w:rsidR="00385B67" w:rsidRPr="00385B67">
        <w:rPr>
          <w:bCs/>
        </w:rPr>
        <w:t xml:space="preserve"> </w:t>
      </w:r>
      <w:r>
        <w:rPr>
          <w:bCs/>
        </w:rPr>
        <w:t>intellectual function and</w:t>
      </w:r>
      <w:r w:rsidR="00385B67" w:rsidRPr="00385B67">
        <w:rPr>
          <w:bCs/>
        </w:rPr>
        <w:t xml:space="preserve"> activity</w:t>
      </w:r>
    </w:p>
    <w:tbl>
      <w:tblPr>
        <w:tblW w:w="8505" w:type="dxa"/>
        <w:tblInd w:w="431"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714"/>
        <w:gridCol w:w="567"/>
        <w:gridCol w:w="851"/>
        <w:gridCol w:w="1134"/>
        <w:gridCol w:w="1417"/>
        <w:gridCol w:w="992"/>
        <w:gridCol w:w="993"/>
        <w:gridCol w:w="419"/>
        <w:gridCol w:w="425"/>
        <w:gridCol w:w="993"/>
      </w:tblGrid>
      <w:tr w:rsidR="00385B67" w:rsidRPr="00D7261E" w:rsidTr="00BE571A">
        <w:trPr>
          <w:cantSplit/>
        </w:trPr>
        <w:tc>
          <w:tcPr>
            <w:tcW w:w="714" w:type="dxa"/>
            <w:vMerge w:val="restart"/>
            <w:shd w:val="clear" w:color="auto" w:fill="FFFFFF"/>
            <w:vAlign w:val="bottom"/>
          </w:tcPr>
          <w:p w:rsidR="00385B67" w:rsidRPr="00D7261E" w:rsidRDefault="00385B67" w:rsidP="00BE571A">
            <w:pPr>
              <w:autoSpaceDE w:val="0"/>
              <w:autoSpaceDN w:val="0"/>
              <w:adjustRightInd w:val="0"/>
              <w:ind w:left="60" w:right="60"/>
              <w:rPr>
                <w:sz w:val="18"/>
                <w:szCs w:val="18"/>
              </w:rPr>
            </w:pPr>
            <w:r w:rsidRPr="00D7261E">
              <w:rPr>
                <w:sz w:val="18"/>
                <w:szCs w:val="18"/>
              </w:rPr>
              <w:t>Model</w:t>
            </w:r>
          </w:p>
        </w:tc>
        <w:tc>
          <w:tcPr>
            <w:tcW w:w="567" w:type="dxa"/>
            <w:vMerge w:val="restart"/>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R</w:t>
            </w:r>
          </w:p>
        </w:tc>
        <w:tc>
          <w:tcPr>
            <w:tcW w:w="851" w:type="dxa"/>
            <w:vMerge w:val="restart"/>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R Square</w:t>
            </w:r>
          </w:p>
        </w:tc>
        <w:tc>
          <w:tcPr>
            <w:tcW w:w="1134" w:type="dxa"/>
            <w:vMerge w:val="restart"/>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Adjusted R Square</w:t>
            </w:r>
          </w:p>
        </w:tc>
        <w:tc>
          <w:tcPr>
            <w:tcW w:w="1417" w:type="dxa"/>
            <w:vMerge w:val="restart"/>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Std. Error of the Estimate</w:t>
            </w:r>
          </w:p>
        </w:tc>
        <w:tc>
          <w:tcPr>
            <w:tcW w:w="3822" w:type="dxa"/>
            <w:gridSpan w:val="5"/>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Change Statistics</w:t>
            </w:r>
          </w:p>
        </w:tc>
      </w:tr>
      <w:tr w:rsidR="00385B67" w:rsidRPr="00D7261E" w:rsidTr="00BE571A">
        <w:trPr>
          <w:cantSplit/>
        </w:trPr>
        <w:tc>
          <w:tcPr>
            <w:tcW w:w="714" w:type="dxa"/>
            <w:vMerge/>
            <w:shd w:val="clear" w:color="auto" w:fill="FFFFFF"/>
            <w:vAlign w:val="bottom"/>
          </w:tcPr>
          <w:p w:rsidR="00385B67" w:rsidRPr="00D7261E" w:rsidRDefault="00385B67" w:rsidP="00BE571A">
            <w:pPr>
              <w:autoSpaceDE w:val="0"/>
              <w:autoSpaceDN w:val="0"/>
              <w:adjustRightInd w:val="0"/>
              <w:rPr>
                <w:sz w:val="18"/>
                <w:szCs w:val="18"/>
              </w:rPr>
            </w:pPr>
          </w:p>
        </w:tc>
        <w:tc>
          <w:tcPr>
            <w:tcW w:w="567" w:type="dxa"/>
            <w:vMerge/>
            <w:shd w:val="clear" w:color="auto" w:fill="FFFFFF"/>
            <w:vAlign w:val="bottom"/>
          </w:tcPr>
          <w:p w:rsidR="00385B67" w:rsidRPr="00D7261E" w:rsidRDefault="00385B67" w:rsidP="00BE571A">
            <w:pPr>
              <w:autoSpaceDE w:val="0"/>
              <w:autoSpaceDN w:val="0"/>
              <w:adjustRightInd w:val="0"/>
              <w:rPr>
                <w:sz w:val="18"/>
                <w:szCs w:val="18"/>
              </w:rPr>
            </w:pPr>
          </w:p>
        </w:tc>
        <w:tc>
          <w:tcPr>
            <w:tcW w:w="851" w:type="dxa"/>
            <w:vMerge/>
            <w:shd w:val="clear" w:color="auto" w:fill="FFFFFF"/>
            <w:vAlign w:val="bottom"/>
          </w:tcPr>
          <w:p w:rsidR="00385B67" w:rsidRPr="00D7261E" w:rsidRDefault="00385B67" w:rsidP="00BE571A">
            <w:pPr>
              <w:autoSpaceDE w:val="0"/>
              <w:autoSpaceDN w:val="0"/>
              <w:adjustRightInd w:val="0"/>
              <w:rPr>
                <w:sz w:val="18"/>
                <w:szCs w:val="18"/>
              </w:rPr>
            </w:pPr>
          </w:p>
        </w:tc>
        <w:tc>
          <w:tcPr>
            <w:tcW w:w="1134" w:type="dxa"/>
            <w:vMerge/>
            <w:shd w:val="clear" w:color="auto" w:fill="FFFFFF"/>
            <w:vAlign w:val="bottom"/>
          </w:tcPr>
          <w:p w:rsidR="00385B67" w:rsidRPr="00D7261E" w:rsidRDefault="00385B67" w:rsidP="00BE571A">
            <w:pPr>
              <w:autoSpaceDE w:val="0"/>
              <w:autoSpaceDN w:val="0"/>
              <w:adjustRightInd w:val="0"/>
              <w:rPr>
                <w:sz w:val="18"/>
                <w:szCs w:val="18"/>
              </w:rPr>
            </w:pPr>
          </w:p>
        </w:tc>
        <w:tc>
          <w:tcPr>
            <w:tcW w:w="1417" w:type="dxa"/>
            <w:vMerge/>
            <w:shd w:val="clear" w:color="auto" w:fill="FFFFFF"/>
            <w:vAlign w:val="bottom"/>
          </w:tcPr>
          <w:p w:rsidR="00385B67" w:rsidRPr="00D7261E" w:rsidRDefault="00385B67" w:rsidP="00BE571A">
            <w:pPr>
              <w:autoSpaceDE w:val="0"/>
              <w:autoSpaceDN w:val="0"/>
              <w:adjustRightInd w:val="0"/>
              <w:rPr>
                <w:sz w:val="18"/>
                <w:szCs w:val="18"/>
              </w:rPr>
            </w:pPr>
          </w:p>
        </w:tc>
        <w:tc>
          <w:tcPr>
            <w:tcW w:w="992" w:type="dxa"/>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R Square Change</w:t>
            </w:r>
          </w:p>
        </w:tc>
        <w:tc>
          <w:tcPr>
            <w:tcW w:w="993" w:type="dxa"/>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F Change</w:t>
            </w:r>
          </w:p>
        </w:tc>
        <w:tc>
          <w:tcPr>
            <w:tcW w:w="419" w:type="dxa"/>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df1</w:t>
            </w:r>
          </w:p>
        </w:tc>
        <w:tc>
          <w:tcPr>
            <w:tcW w:w="425" w:type="dxa"/>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df2</w:t>
            </w:r>
          </w:p>
        </w:tc>
        <w:tc>
          <w:tcPr>
            <w:tcW w:w="993" w:type="dxa"/>
            <w:shd w:val="clear" w:color="auto" w:fill="FFFFFF"/>
            <w:vAlign w:val="bottom"/>
          </w:tcPr>
          <w:p w:rsidR="00385B67" w:rsidRPr="00D7261E" w:rsidRDefault="00385B67" w:rsidP="00BE571A">
            <w:pPr>
              <w:autoSpaceDE w:val="0"/>
              <w:autoSpaceDN w:val="0"/>
              <w:adjustRightInd w:val="0"/>
              <w:ind w:left="60" w:right="60"/>
              <w:jc w:val="center"/>
              <w:rPr>
                <w:sz w:val="18"/>
                <w:szCs w:val="18"/>
              </w:rPr>
            </w:pPr>
            <w:r w:rsidRPr="00D7261E">
              <w:rPr>
                <w:sz w:val="18"/>
                <w:szCs w:val="18"/>
              </w:rPr>
              <w:t>Sig. F Change</w:t>
            </w:r>
          </w:p>
        </w:tc>
      </w:tr>
      <w:tr w:rsidR="00385B67" w:rsidRPr="00D7261E" w:rsidTr="00BE571A">
        <w:trPr>
          <w:cantSplit/>
        </w:trPr>
        <w:tc>
          <w:tcPr>
            <w:tcW w:w="714" w:type="dxa"/>
            <w:shd w:val="clear" w:color="auto" w:fill="E0E0E0"/>
          </w:tcPr>
          <w:p w:rsidR="00385B67" w:rsidRPr="00D7261E" w:rsidRDefault="00385B67" w:rsidP="00BE571A">
            <w:pPr>
              <w:autoSpaceDE w:val="0"/>
              <w:autoSpaceDN w:val="0"/>
              <w:adjustRightInd w:val="0"/>
              <w:ind w:left="60" w:right="60"/>
              <w:rPr>
                <w:sz w:val="18"/>
                <w:szCs w:val="18"/>
              </w:rPr>
            </w:pPr>
            <w:r w:rsidRPr="00D7261E">
              <w:rPr>
                <w:sz w:val="18"/>
                <w:szCs w:val="18"/>
              </w:rPr>
              <w:t>1</w:t>
            </w:r>
          </w:p>
        </w:tc>
        <w:tc>
          <w:tcPr>
            <w:tcW w:w="567"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.426</w:t>
            </w:r>
            <w:r w:rsidRPr="00D7261E">
              <w:rPr>
                <w:sz w:val="18"/>
                <w:szCs w:val="18"/>
                <w:vertAlign w:val="superscript"/>
              </w:rPr>
              <w:t>a</w:t>
            </w:r>
          </w:p>
        </w:tc>
        <w:tc>
          <w:tcPr>
            <w:tcW w:w="851"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.181</w:t>
            </w:r>
          </w:p>
        </w:tc>
        <w:tc>
          <w:tcPr>
            <w:tcW w:w="1134"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.144</w:t>
            </w:r>
          </w:p>
        </w:tc>
        <w:tc>
          <w:tcPr>
            <w:tcW w:w="1417"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.638</w:t>
            </w:r>
          </w:p>
        </w:tc>
        <w:tc>
          <w:tcPr>
            <w:tcW w:w="992"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.181</w:t>
            </w:r>
          </w:p>
        </w:tc>
        <w:tc>
          <w:tcPr>
            <w:tcW w:w="993"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4.872</w:t>
            </w:r>
          </w:p>
        </w:tc>
        <w:tc>
          <w:tcPr>
            <w:tcW w:w="419"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3</w:t>
            </w:r>
          </w:p>
        </w:tc>
        <w:tc>
          <w:tcPr>
            <w:tcW w:w="425"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66</w:t>
            </w:r>
          </w:p>
        </w:tc>
        <w:tc>
          <w:tcPr>
            <w:tcW w:w="993" w:type="dxa"/>
            <w:shd w:val="clear" w:color="auto" w:fill="FFFFFF"/>
          </w:tcPr>
          <w:p w:rsidR="00385B67" w:rsidRPr="00D7261E" w:rsidRDefault="00385B67" w:rsidP="00BE571A">
            <w:pPr>
              <w:autoSpaceDE w:val="0"/>
              <w:autoSpaceDN w:val="0"/>
              <w:adjustRightInd w:val="0"/>
              <w:ind w:left="60" w:right="60"/>
              <w:jc w:val="right"/>
              <w:rPr>
                <w:sz w:val="18"/>
                <w:szCs w:val="18"/>
              </w:rPr>
            </w:pPr>
            <w:r w:rsidRPr="00D7261E">
              <w:rPr>
                <w:sz w:val="18"/>
                <w:szCs w:val="18"/>
              </w:rPr>
              <w:t>.004</w:t>
            </w:r>
          </w:p>
        </w:tc>
      </w:tr>
      <w:tr w:rsidR="00385B67" w:rsidRPr="00D7261E" w:rsidTr="00BE571A">
        <w:trPr>
          <w:cantSplit/>
        </w:trPr>
        <w:tc>
          <w:tcPr>
            <w:tcW w:w="8505" w:type="dxa"/>
            <w:gridSpan w:val="10"/>
            <w:shd w:val="clear" w:color="auto" w:fill="FFFFFF"/>
          </w:tcPr>
          <w:p w:rsidR="00385B67" w:rsidRPr="00D7261E" w:rsidRDefault="00385B67" w:rsidP="00BE571A">
            <w:pPr>
              <w:autoSpaceDE w:val="0"/>
              <w:autoSpaceDN w:val="0"/>
              <w:adjustRightInd w:val="0"/>
              <w:ind w:left="60" w:right="60"/>
              <w:rPr>
                <w:sz w:val="18"/>
                <w:szCs w:val="18"/>
              </w:rPr>
            </w:pPr>
            <w:r w:rsidRPr="00D7261E">
              <w:rPr>
                <w:sz w:val="18"/>
                <w:szCs w:val="18"/>
              </w:rPr>
              <w:t xml:space="preserve">a. </w:t>
            </w:r>
            <w:r>
              <w:rPr>
                <w:sz w:val="18"/>
                <w:szCs w:val="18"/>
              </w:rPr>
              <w:t xml:space="preserve">Predictors: (Constant), Age, </w:t>
            </w:r>
            <w:r w:rsidR="009560FB">
              <w:rPr>
                <w:sz w:val="18"/>
                <w:szCs w:val="18"/>
              </w:rPr>
              <w:t>intellectual function</w:t>
            </w:r>
          </w:p>
        </w:tc>
      </w:tr>
      <w:tr w:rsidR="00385B67" w:rsidRPr="00D7261E" w:rsidTr="00BE571A">
        <w:trPr>
          <w:cantSplit/>
        </w:trPr>
        <w:tc>
          <w:tcPr>
            <w:tcW w:w="8505" w:type="dxa"/>
            <w:gridSpan w:val="10"/>
            <w:shd w:val="clear" w:color="auto" w:fill="FFFFFF"/>
          </w:tcPr>
          <w:p w:rsidR="00385B67" w:rsidRPr="00D7261E" w:rsidRDefault="00385B67" w:rsidP="00BE571A">
            <w:pPr>
              <w:autoSpaceDE w:val="0"/>
              <w:autoSpaceDN w:val="0"/>
              <w:adjustRightInd w:val="0"/>
              <w:ind w:left="60" w:right="60"/>
              <w:rPr>
                <w:sz w:val="18"/>
                <w:szCs w:val="18"/>
              </w:rPr>
            </w:pPr>
            <w:r w:rsidRPr="00D7261E">
              <w:rPr>
                <w:sz w:val="18"/>
                <w:szCs w:val="18"/>
              </w:rPr>
              <w:t>b. Dependent Variable: A</w:t>
            </w:r>
            <w:r>
              <w:rPr>
                <w:sz w:val="18"/>
                <w:szCs w:val="18"/>
              </w:rPr>
              <w:t>ctivity</w:t>
            </w:r>
          </w:p>
        </w:tc>
      </w:tr>
    </w:tbl>
    <w:p w:rsidR="00385B67" w:rsidRDefault="00385B67" w:rsidP="00385B67">
      <w:pPr>
        <w:jc w:val="both"/>
        <w:rPr>
          <w:bCs/>
        </w:rPr>
      </w:pPr>
      <w:r w:rsidRPr="00385B67">
        <w:rPr>
          <w:bCs/>
        </w:rPr>
        <w:t xml:space="preserve">Model II regression results, namely age and mental status have significant effect on elderly activities. The size of the R </w:t>
      </w:r>
      <w:r w:rsidRPr="00385B67">
        <w:rPr>
          <w:bCs/>
          <w:vertAlign w:val="subscript"/>
        </w:rPr>
        <w:t>square</w:t>
      </w:r>
      <w:r>
        <w:rPr>
          <w:bCs/>
        </w:rPr>
        <w:t xml:space="preserve"> in table 4 is 0,</w:t>
      </w:r>
      <w:r w:rsidRPr="00385B67">
        <w:rPr>
          <w:bCs/>
        </w:rPr>
        <w:t xml:space="preserve">181 indicates that the contribution or donation of age and mental </w:t>
      </w:r>
      <w:r>
        <w:rPr>
          <w:bCs/>
        </w:rPr>
        <w:t>influence on the activity is 18,1%, while the remaining 81,</w:t>
      </w:r>
      <w:r w:rsidRPr="00385B67">
        <w:rPr>
          <w:bCs/>
        </w:rPr>
        <w:t>9% is the contribution of other variables not included in the study</w:t>
      </w:r>
      <w:r>
        <w:rPr>
          <w:bCs/>
        </w:rPr>
        <w:t>.</w:t>
      </w:r>
    </w:p>
    <w:p w:rsidR="00385B67" w:rsidRPr="00385B67" w:rsidRDefault="00385B67" w:rsidP="00385B67">
      <w:pPr>
        <w:jc w:val="center"/>
        <w:rPr>
          <w:bCs/>
        </w:rPr>
      </w:pPr>
      <w:r w:rsidRPr="00385B67">
        <w:rPr>
          <w:bCs/>
        </w:rPr>
        <w:t xml:space="preserve">Table 5. </w:t>
      </w:r>
      <w:r w:rsidRPr="001F282A">
        <w:rPr>
          <w:bCs/>
        </w:rPr>
        <w:t>Analysis</w:t>
      </w:r>
      <w:r>
        <w:rPr>
          <w:bCs/>
        </w:rPr>
        <w:t xml:space="preserve"> Path T</w:t>
      </w:r>
      <w:r w:rsidRPr="001F282A">
        <w:rPr>
          <w:bCs/>
        </w:rPr>
        <w:t>est Result</w:t>
      </w:r>
    </w:p>
    <w:p w:rsidR="00385B67" w:rsidRDefault="009560FB" w:rsidP="00385B67">
      <w:pPr>
        <w:jc w:val="center"/>
        <w:rPr>
          <w:bCs/>
        </w:rPr>
      </w:pPr>
      <w:r>
        <w:rPr>
          <w:bCs/>
        </w:rPr>
        <w:t>Age and intellectual function</w:t>
      </w:r>
      <w:r w:rsidR="00385B67" w:rsidRPr="00385B67">
        <w:rPr>
          <w:bCs/>
        </w:rPr>
        <w:t xml:space="preserve"> of elderly activities</w:t>
      </w:r>
    </w:p>
    <w:tbl>
      <w:tblPr>
        <w:tblW w:w="6237" w:type="dxa"/>
        <w:jc w:val="center"/>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0"/>
        <w:gridCol w:w="709"/>
        <w:gridCol w:w="851"/>
        <w:gridCol w:w="1417"/>
        <w:gridCol w:w="709"/>
        <w:gridCol w:w="709"/>
      </w:tblGrid>
      <w:tr w:rsidR="00385B67" w:rsidRPr="00FE5C31" w:rsidTr="00BE571A">
        <w:trPr>
          <w:cantSplit/>
          <w:jc w:val="center"/>
        </w:trPr>
        <w:tc>
          <w:tcPr>
            <w:tcW w:w="1842" w:type="dxa"/>
            <w:gridSpan w:val="2"/>
            <w:vMerge w:val="restart"/>
            <w:tcBorders>
              <w:top w:val="single" w:sz="4" w:space="0" w:color="auto"/>
              <w:left w:val="nil"/>
              <w:bottom w:val="nil"/>
              <w:right w:val="nil"/>
            </w:tcBorders>
            <w:shd w:val="clear" w:color="auto" w:fill="FFFFFF"/>
            <w:vAlign w:val="bottom"/>
          </w:tcPr>
          <w:p w:rsidR="00385B67" w:rsidRPr="00FE5C31" w:rsidRDefault="00385B67" w:rsidP="00BE571A">
            <w:pPr>
              <w:autoSpaceDE w:val="0"/>
              <w:autoSpaceDN w:val="0"/>
              <w:adjustRightInd w:val="0"/>
              <w:ind w:left="60" w:right="60"/>
              <w:rPr>
                <w:color w:val="264A60"/>
                <w:sz w:val="18"/>
                <w:szCs w:val="18"/>
              </w:rPr>
            </w:pPr>
            <w:r w:rsidRPr="00FE5C31">
              <w:rPr>
                <w:color w:val="264A60"/>
                <w:sz w:val="18"/>
                <w:szCs w:val="18"/>
              </w:rPr>
              <w:t>Model</w:t>
            </w:r>
          </w:p>
        </w:tc>
        <w:tc>
          <w:tcPr>
            <w:tcW w:w="1560" w:type="dxa"/>
            <w:gridSpan w:val="2"/>
            <w:tcBorders>
              <w:top w:val="single" w:sz="4" w:space="0" w:color="auto"/>
              <w:left w:val="nil"/>
              <w:bottom w:val="nil"/>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Unstandardized Coefficients</w:t>
            </w:r>
          </w:p>
        </w:tc>
        <w:tc>
          <w:tcPr>
            <w:tcW w:w="1417" w:type="dxa"/>
            <w:tcBorders>
              <w:top w:val="single" w:sz="4" w:space="0" w:color="auto"/>
              <w:left w:val="single" w:sz="8" w:space="0" w:color="E0E0E0"/>
              <w:bottom w:val="nil"/>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Standardized Coefficients</w:t>
            </w:r>
          </w:p>
        </w:tc>
        <w:tc>
          <w:tcPr>
            <w:tcW w:w="709" w:type="dxa"/>
            <w:vMerge w:val="restart"/>
            <w:tcBorders>
              <w:top w:val="single" w:sz="4" w:space="0" w:color="auto"/>
              <w:left w:val="single" w:sz="8" w:space="0" w:color="E0E0E0"/>
              <w:bottom w:val="nil"/>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t</w:t>
            </w:r>
          </w:p>
        </w:tc>
        <w:tc>
          <w:tcPr>
            <w:tcW w:w="709" w:type="dxa"/>
            <w:vMerge w:val="restart"/>
            <w:tcBorders>
              <w:top w:val="single" w:sz="4" w:space="0" w:color="auto"/>
              <w:left w:val="single" w:sz="8" w:space="0" w:color="E0E0E0"/>
              <w:bottom w:val="nil"/>
              <w:right w:val="nil"/>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Sig.</w:t>
            </w:r>
          </w:p>
        </w:tc>
      </w:tr>
      <w:tr w:rsidR="00385B67" w:rsidRPr="00FE5C31" w:rsidTr="00BE571A">
        <w:trPr>
          <w:cantSplit/>
          <w:jc w:val="center"/>
        </w:trPr>
        <w:tc>
          <w:tcPr>
            <w:tcW w:w="1842" w:type="dxa"/>
            <w:gridSpan w:val="2"/>
            <w:vMerge/>
            <w:tcBorders>
              <w:top w:val="nil"/>
              <w:left w:val="nil"/>
              <w:bottom w:val="nil"/>
              <w:right w:val="nil"/>
            </w:tcBorders>
            <w:shd w:val="clear" w:color="auto" w:fill="FFFFFF"/>
            <w:vAlign w:val="bottom"/>
          </w:tcPr>
          <w:p w:rsidR="00385B67" w:rsidRPr="00FE5C31" w:rsidRDefault="00385B67" w:rsidP="00BE571A">
            <w:pPr>
              <w:autoSpaceDE w:val="0"/>
              <w:autoSpaceDN w:val="0"/>
              <w:adjustRightInd w:val="0"/>
              <w:rPr>
                <w:color w:val="264A60"/>
                <w:sz w:val="18"/>
                <w:szCs w:val="18"/>
              </w:rPr>
            </w:pPr>
          </w:p>
        </w:tc>
        <w:tc>
          <w:tcPr>
            <w:tcW w:w="709" w:type="dxa"/>
            <w:tcBorders>
              <w:top w:val="nil"/>
              <w:left w:val="nil"/>
              <w:bottom w:val="single" w:sz="8" w:space="0" w:color="152935"/>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B</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385B67" w:rsidRPr="00FE5C31" w:rsidRDefault="00385B67" w:rsidP="00BE571A">
            <w:pPr>
              <w:autoSpaceDE w:val="0"/>
              <w:autoSpaceDN w:val="0"/>
              <w:adjustRightInd w:val="0"/>
              <w:ind w:left="60" w:right="60"/>
              <w:jc w:val="center"/>
              <w:rPr>
                <w:color w:val="264A60"/>
                <w:sz w:val="18"/>
                <w:szCs w:val="18"/>
              </w:rPr>
            </w:pPr>
            <w:r w:rsidRPr="00FE5C31">
              <w:rPr>
                <w:color w:val="264A60"/>
                <w:sz w:val="18"/>
                <w:szCs w:val="18"/>
              </w:rPr>
              <w:t>Beta</w:t>
            </w:r>
          </w:p>
        </w:tc>
        <w:tc>
          <w:tcPr>
            <w:tcW w:w="709" w:type="dxa"/>
            <w:vMerge/>
            <w:tcBorders>
              <w:top w:val="nil"/>
              <w:left w:val="single" w:sz="8" w:space="0" w:color="E0E0E0"/>
              <w:bottom w:val="nil"/>
              <w:right w:val="single" w:sz="8" w:space="0" w:color="E0E0E0"/>
            </w:tcBorders>
            <w:shd w:val="clear" w:color="auto" w:fill="FFFFFF"/>
            <w:vAlign w:val="bottom"/>
          </w:tcPr>
          <w:p w:rsidR="00385B67" w:rsidRPr="00FE5C31" w:rsidRDefault="00385B67" w:rsidP="00BE571A">
            <w:pPr>
              <w:autoSpaceDE w:val="0"/>
              <w:autoSpaceDN w:val="0"/>
              <w:adjustRightInd w:val="0"/>
              <w:rPr>
                <w:color w:val="264A60"/>
                <w:sz w:val="18"/>
                <w:szCs w:val="18"/>
              </w:rPr>
            </w:pPr>
          </w:p>
        </w:tc>
        <w:tc>
          <w:tcPr>
            <w:tcW w:w="709" w:type="dxa"/>
            <w:vMerge/>
            <w:tcBorders>
              <w:top w:val="nil"/>
              <w:left w:val="single" w:sz="8" w:space="0" w:color="E0E0E0"/>
              <w:bottom w:val="nil"/>
              <w:right w:val="nil"/>
            </w:tcBorders>
            <w:shd w:val="clear" w:color="auto" w:fill="FFFFFF"/>
            <w:vAlign w:val="bottom"/>
          </w:tcPr>
          <w:p w:rsidR="00385B67" w:rsidRPr="00FE5C31" w:rsidRDefault="00385B67" w:rsidP="00BE571A">
            <w:pPr>
              <w:autoSpaceDE w:val="0"/>
              <w:autoSpaceDN w:val="0"/>
              <w:adjustRightInd w:val="0"/>
              <w:rPr>
                <w:color w:val="264A60"/>
                <w:sz w:val="18"/>
                <w:szCs w:val="18"/>
              </w:rPr>
            </w:pPr>
          </w:p>
        </w:tc>
      </w:tr>
      <w:tr w:rsidR="00385B67" w:rsidRPr="00FE5C31" w:rsidTr="00377A06">
        <w:trPr>
          <w:cantSplit/>
          <w:jc w:val="center"/>
        </w:trPr>
        <w:tc>
          <w:tcPr>
            <w:tcW w:w="142" w:type="dxa"/>
            <w:vMerge w:val="restart"/>
            <w:tcBorders>
              <w:top w:val="single" w:sz="8" w:space="0" w:color="152935"/>
              <w:left w:val="nil"/>
              <w:bottom w:val="single" w:sz="8" w:space="0" w:color="152935"/>
              <w:right w:val="nil"/>
            </w:tcBorders>
            <w:shd w:val="clear" w:color="auto" w:fill="E0E0E0"/>
          </w:tcPr>
          <w:p w:rsidR="00385B67" w:rsidRPr="00FE5C31" w:rsidRDefault="00385B67" w:rsidP="00BE571A">
            <w:pPr>
              <w:autoSpaceDE w:val="0"/>
              <w:autoSpaceDN w:val="0"/>
              <w:adjustRightInd w:val="0"/>
              <w:ind w:left="60" w:right="60"/>
              <w:rPr>
                <w:color w:val="264A60"/>
                <w:sz w:val="18"/>
                <w:szCs w:val="18"/>
              </w:rPr>
            </w:pPr>
            <w:r w:rsidRPr="00FE5C31">
              <w:rPr>
                <w:color w:val="264A60"/>
                <w:sz w:val="18"/>
                <w:szCs w:val="18"/>
              </w:rPr>
              <w:t>1</w:t>
            </w:r>
          </w:p>
        </w:tc>
        <w:tc>
          <w:tcPr>
            <w:tcW w:w="1700" w:type="dxa"/>
            <w:tcBorders>
              <w:top w:val="single" w:sz="8" w:space="0" w:color="152935"/>
              <w:left w:val="nil"/>
              <w:bottom w:val="single" w:sz="8" w:space="0" w:color="AEAEAE"/>
              <w:right w:val="nil"/>
            </w:tcBorders>
            <w:shd w:val="clear" w:color="auto" w:fill="E0E0E0"/>
          </w:tcPr>
          <w:p w:rsidR="00385B67" w:rsidRPr="00FE5C31" w:rsidRDefault="00385B67" w:rsidP="00BE571A">
            <w:pPr>
              <w:autoSpaceDE w:val="0"/>
              <w:autoSpaceDN w:val="0"/>
              <w:adjustRightInd w:val="0"/>
              <w:ind w:left="60" w:right="60"/>
              <w:rPr>
                <w:color w:val="264A60"/>
                <w:sz w:val="18"/>
                <w:szCs w:val="18"/>
              </w:rPr>
            </w:pPr>
            <w:r w:rsidRPr="00FE5C31">
              <w:rPr>
                <w:color w:val="264A60"/>
                <w:sz w:val="18"/>
                <w:szCs w:val="18"/>
              </w:rPr>
              <w:t>(Constant)</w:t>
            </w:r>
          </w:p>
        </w:tc>
        <w:tc>
          <w:tcPr>
            <w:tcW w:w="709" w:type="dxa"/>
            <w:tcBorders>
              <w:top w:val="single" w:sz="8" w:space="0" w:color="152935"/>
              <w:left w:val="nil"/>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1.499</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.522</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85B67" w:rsidRPr="00FE5C31" w:rsidRDefault="00385B67" w:rsidP="00BE571A">
            <w:pPr>
              <w:autoSpaceDE w:val="0"/>
              <w:autoSpaceDN w:val="0"/>
              <w:adjustRightInd w:val="0"/>
              <w:rPr>
                <w:sz w:val="24"/>
                <w:szCs w:val="24"/>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2.869</w:t>
            </w:r>
          </w:p>
        </w:tc>
        <w:tc>
          <w:tcPr>
            <w:tcW w:w="709" w:type="dxa"/>
            <w:tcBorders>
              <w:top w:val="single" w:sz="8" w:space="0" w:color="152935"/>
              <w:left w:val="single" w:sz="8" w:space="0" w:color="E0E0E0"/>
              <w:bottom w:val="single" w:sz="8" w:space="0" w:color="AEAEAE"/>
              <w:right w:val="nil"/>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.006</w:t>
            </w:r>
          </w:p>
        </w:tc>
      </w:tr>
      <w:tr w:rsidR="00385B67" w:rsidRPr="00FE5C31" w:rsidTr="00377A06">
        <w:trPr>
          <w:cantSplit/>
          <w:jc w:val="center"/>
        </w:trPr>
        <w:tc>
          <w:tcPr>
            <w:tcW w:w="142" w:type="dxa"/>
            <w:vMerge/>
            <w:tcBorders>
              <w:top w:val="single" w:sz="8" w:space="0" w:color="152935"/>
              <w:left w:val="nil"/>
              <w:bottom w:val="single" w:sz="8" w:space="0" w:color="152935"/>
              <w:right w:val="nil"/>
            </w:tcBorders>
            <w:shd w:val="clear" w:color="auto" w:fill="E0E0E0"/>
          </w:tcPr>
          <w:p w:rsidR="00385B67" w:rsidRPr="00FE5C31" w:rsidRDefault="00385B67" w:rsidP="00BE571A">
            <w:pPr>
              <w:autoSpaceDE w:val="0"/>
              <w:autoSpaceDN w:val="0"/>
              <w:adjustRightInd w:val="0"/>
              <w:rPr>
                <w:color w:val="010205"/>
                <w:sz w:val="18"/>
                <w:szCs w:val="18"/>
              </w:rPr>
            </w:pPr>
          </w:p>
        </w:tc>
        <w:tc>
          <w:tcPr>
            <w:tcW w:w="1700" w:type="dxa"/>
            <w:tcBorders>
              <w:top w:val="single" w:sz="8" w:space="0" w:color="AEAEAE"/>
              <w:left w:val="nil"/>
              <w:bottom w:val="single" w:sz="8" w:space="0" w:color="AEAEAE"/>
              <w:right w:val="nil"/>
            </w:tcBorders>
            <w:shd w:val="clear" w:color="auto" w:fill="E0E0E0"/>
          </w:tcPr>
          <w:p w:rsidR="00385B67" w:rsidRPr="00FE5C31" w:rsidRDefault="00385B67" w:rsidP="00BE571A">
            <w:pPr>
              <w:autoSpaceDE w:val="0"/>
              <w:autoSpaceDN w:val="0"/>
              <w:adjustRightInd w:val="0"/>
              <w:ind w:left="60" w:right="60"/>
              <w:rPr>
                <w:color w:val="264A60"/>
                <w:sz w:val="18"/>
                <w:szCs w:val="18"/>
              </w:rPr>
            </w:pPr>
            <w:r>
              <w:rPr>
                <w:color w:val="264A60"/>
                <w:sz w:val="18"/>
                <w:szCs w:val="18"/>
              </w:rPr>
              <w:t>Age</w:t>
            </w:r>
          </w:p>
        </w:tc>
        <w:tc>
          <w:tcPr>
            <w:tcW w:w="709" w:type="dxa"/>
            <w:tcBorders>
              <w:top w:val="single" w:sz="8" w:space="0" w:color="AEAEAE"/>
              <w:left w:val="nil"/>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-.058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.148</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-.047</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-.389</w:t>
            </w:r>
          </w:p>
        </w:tc>
        <w:tc>
          <w:tcPr>
            <w:tcW w:w="709" w:type="dxa"/>
            <w:tcBorders>
              <w:top w:val="single" w:sz="8" w:space="0" w:color="AEAEAE"/>
              <w:left w:val="single" w:sz="8" w:space="0" w:color="E0E0E0"/>
              <w:bottom w:val="single" w:sz="8" w:space="0" w:color="AEAEAE"/>
              <w:right w:val="nil"/>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.699</w:t>
            </w:r>
          </w:p>
        </w:tc>
      </w:tr>
      <w:tr w:rsidR="00385B67" w:rsidRPr="00FE5C31" w:rsidTr="00377A06">
        <w:trPr>
          <w:cantSplit/>
          <w:jc w:val="center"/>
        </w:trPr>
        <w:tc>
          <w:tcPr>
            <w:tcW w:w="142" w:type="dxa"/>
            <w:vMerge/>
            <w:tcBorders>
              <w:top w:val="single" w:sz="8" w:space="0" w:color="152935"/>
              <w:left w:val="nil"/>
              <w:bottom w:val="single" w:sz="8" w:space="0" w:color="152935"/>
              <w:right w:val="nil"/>
            </w:tcBorders>
            <w:shd w:val="clear" w:color="auto" w:fill="E0E0E0"/>
          </w:tcPr>
          <w:p w:rsidR="00385B67" w:rsidRPr="00FE5C31" w:rsidRDefault="00385B67" w:rsidP="00BE571A">
            <w:pPr>
              <w:autoSpaceDE w:val="0"/>
              <w:autoSpaceDN w:val="0"/>
              <w:adjustRightInd w:val="0"/>
              <w:rPr>
                <w:color w:val="010205"/>
                <w:sz w:val="18"/>
                <w:szCs w:val="18"/>
              </w:rPr>
            </w:pPr>
          </w:p>
        </w:tc>
        <w:tc>
          <w:tcPr>
            <w:tcW w:w="1700" w:type="dxa"/>
            <w:tcBorders>
              <w:top w:val="single" w:sz="8" w:space="0" w:color="AEAEAE"/>
              <w:left w:val="nil"/>
              <w:bottom w:val="single" w:sz="8" w:space="0" w:color="152935"/>
              <w:right w:val="nil"/>
            </w:tcBorders>
            <w:shd w:val="clear" w:color="auto" w:fill="E0E0E0"/>
          </w:tcPr>
          <w:p w:rsidR="00385B67" w:rsidRPr="00FE5C31" w:rsidRDefault="009560FB" w:rsidP="00BE571A">
            <w:pPr>
              <w:autoSpaceDE w:val="0"/>
              <w:autoSpaceDN w:val="0"/>
              <w:adjustRightInd w:val="0"/>
              <w:ind w:left="60" w:right="60"/>
              <w:rPr>
                <w:color w:val="264A60"/>
                <w:sz w:val="18"/>
                <w:szCs w:val="18"/>
              </w:rPr>
            </w:pPr>
            <w:r>
              <w:rPr>
                <w:color w:val="264A60"/>
                <w:sz w:val="18"/>
                <w:szCs w:val="18"/>
              </w:rPr>
              <w:t>Intellectual function</w:t>
            </w:r>
          </w:p>
        </w:tc>
        <w:tc>
          <w:tcPr>
            <w:tcW w:w="709" w:type="dxa"/>
            <w:tcBorders>
              <w:top w:val="single" w:sz="8" w:space="0" w:color="AEAEAE"/>
              <w:left w:val="nil"/>
              <w:bottom w:val="single" w:sz="8" w:space="0" w:color="152935"/>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.388</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.116</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.401</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3.340</w:t>
            </w:r>
          </w:p>
        </w:tc>
        <w:tc>
          <w:tcPr>
            <w:tcW w:w="709" w:type="dxa"/>
            <w:tcBorders>
              <w:top w:val="single" w:sz="8" w:space="0" w:color="AEAEAE"/>
              <w:left w:val="single" w:sz="8" w:space="0" w:color="E0E0E0"/>
              <w:bottom w:val="single" w:sz="8" w:space="0" w:color="152935"/>
              <w:right w:val="nil"/>
            </w:tcBorders>
            <w:shd w:val="clear" w:color="auto" w:fill="FFFFFF"/>
          </w:tcPr>
          <w:p w:rsidR="00385B67" w:rsidRPr="00FE5C31" w:rsidRDefault="00385B67" w:rsidP="00BE571A">
            <w:pPr>
              <w:autoSpaceDE w:val="0"/>
              <w:autoSpaceDN w:val="0"/>
              <w:adjustRightInd w:val="0"/>
              <w:ind w:left="60" w:right="60"/>
              <w:jc w:val="right"/>
              <w:rPr>
                <w:color w:val="010205"/>
                <w:sz w:val="18"/>
                <w:szCs w:val="18"/>
              </w:rPr>
            </w:pPr>
            <w:r w:rsidRPr="00FE5C31">
              <w:rPr>
                <w:color w:val="010205"/>
                <w:sz w:val="18"/>
                <w:szCs w:val="18"/>
              </w:rPr>
              <w:t>.001</w:t>
            </w:r>
          </w:p>
        </w:tc>
      </w:tr>
      <w:tr w:rsidR="00385B67" w:rsidRPr="00FE5C31" w:rsidTr="00BE571A">
        <w:trPr>
          <w:cantSplit/>
          <w:jc w:val="center"/>
        </w:trPr>
        <w:tc>
          <w:tcPr>
            <w:tcW w:w="6237" w:type="dxa"/>
            <w:gridSpan w:val="7"/>
            <w:tcBorders>
              <w:top w:val="nil"/>
              <w:left w:val="nil"/>
              <w:bottom w:val="nil"/>
              <w:right w:val="nil"/>
            </w:tcBorders>
            <w:shd w:val="clear" w:color="auto" w:fill="FFFFFF"/>
          </w:tcPr>
          <w:p w:rsidR="00385B67" w:rsidRPr="00FE5C31" w:rsidRDefault="00385B67" w:rsidP="00BE571A">
            <w:pPr>
              <w:autoSpaceDE w:val="0"/>
              <w:autoSpaceDN w:val="0"/>
              <w:adjustRightInd w:val="0"/>
              <w:ind w:left="60" w:right="60"/>
              <w:rPr>
                <w:color w:val="010205"/>
                <w:sz w:val="18"/>
                <w:szCs w:val="18"/>
              </w:rPr>
            </w:pPr>
            <w:r w:rsidRPr="00FE5C31">
              <w:rPr>
                <w:color w:val="010205"/>
                <w:sz w:val="18"/>
                <w:szCs w:val="18"/>
              </w:rPr>
              <w:t>a. Dependent Variable: Aktivitas</w:t>
            </w:r>
          </w:p>
        </w:tc>
      </w:tr>
    </w:tbl>
    <w:p w:rsidR="002622CD" w:rsidRPr="007171E6" w:rsidRDefault="007171E6" w:rsidP="007171E6">
      <w:pPr>
        <w:jc w:val="both"/>
        <w:rPr>
          <w:bCs/>
        </w:rPr>
      </w:pPr>
      <w:r w:rsidRPr="007171E6">
        <w:rPr>
          <w:bCs/>
        </w:rPr>
        <w:t xml:space="preserve">Out put regression model II in the Table 5 section can be known that the significance value in the age variable = 0699 &gt; 0.05, the result is winning that the age has no effect on </w:t>
      </w:r>
      <w:r w:rsidR="009560FB">
        <w:rPr>
          <w:bCs/>
        </w:rPr>
        <w:t xml:space="preserve">the activity, while the intellectual functions </w:t>
      </w:r>
      <w:r>
        <w:rPr>
          <w:bCs/>
        </w:rPr>
        <w:t>=</w:t>
      </w:r>
      <w:r w:rsidRPr="007171E6">
        <w:rPr>
          <w:bCs/>
        </w:rPr>
        <w:t xml:space="preserve"> 0.001 &lt; of 0.05, t</w:t>
      </w:r>
      <w:r>
        <w:rPr>
          <w:bCs/>
        </w:rPr>
        <w:t xml:space="preserve">his result indicates that </w:t>
      </w:r>
      <w:r w:rsidR="009560FB">
        <w:rPr>
          <w:bCs/>
        </w:rPr>
        <w:t>intellectual functions</w:t>
      </w:r>
      <w:r w:rsidRPr="007171E6">
        <w:rPr>
          <w:bCs/>
        </w:rPr>
        <w:t xml:space="preserve"> affects the activity.</w:t>
      </w:r>
    </w:p>
    <w:p w:rsidR="00385B67" w:rsidRDefault="009D32D1" w:rsidP="00904D6D">
      <w:pPr>
        <w:rPr>
          <w:b/>
          <w:bCs/>
        </w:rPr>
      </w:pPr>
      <w:r>
        <w:rPr>
          <w:b/>
          <w:bCs/>
          <w:noProof/>
        </w:rPr>
        <w:pict>
          <v:group id="_x0000_s1051" editas="canvas" style="position:absolute;margin-left:33.8pt;margin-top:4.2pt;width:356.2pt;height:148.2pt;z-index:251658240" coordorigin="2869,3653" coordsize="5481,22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2869;top:3653;width:5481;height:2280" o:preferrelative="f">
              <v:fill o:detectmouseclick="t"/>
              <v:path o:extrusionok="t" o:connecttype="none"/>
              <o:lock v:ext="edit" text="t"/>
            </v:shape>
            <v:rect id="_x0000_s1053" style="position:absolute;left:3310;top:4043;width:819;height:529" fillcolor="#f79646 [3209]" strokecolor="#f2f2f2 [3041]" strokeweight="3pt">
              <v:shadow on="t" type="perspective" color="#974706 [1609]" opacity=".5" offset="1pt" offset2="-1pt"/>
              <v:textbox style="mso-next-textbox:#_x0000_s1053">
                <w:txbxContent>
                  <w:p w:rsidR="00BB2623" w:rsidRPr="008C484A" w:rsidRDefault="00BB2623" w:rsidP="007171E6">
                    <w:pPr>
                      <w:jc w:val="center"/>
                      <w:rPr>
                        <w:b/>
                      </w:rPr>
                    </w:pPr>
                    <w:r w:rsidRPr="008C484A">
                      <w:rPr>
                        <w:b/>
                      </w:rPr>
                      <w:t>X1</w:t>
                    </w:r>
                  </w:p>
                  <w:p w:rsidR="00BB2623" w:rsidRPr="008C484A" w:rsidRDefault="00BB2623" w:rsidP="007171E6">
                    <w:pPr>
                      <w:jc w:val="center"/>
                      <w:rPr>
                        <w:b/>
                      </w:rPr>
                    </w:pPr>
                    <w:r>
                      <w:rPr>
                        <w:b/>
                      </w:rPr>
                      <w:t>Age</w:t>
                    </w:r>
                  </w:p>
                </w:txbxContent>
              </v:textbox>
            </v:rect>
            <v:rect id="_x0000_s1054" style="position:absolute;left:3228;top:4684;width:974;height:604" fillcolor="#f79646 [3209]" strokecolor="#f2f2f2 [3041]" strokeweight="3pt">
              <v:shadow on="t" type="perspective" color="#974706 [1609]" opacity=".5" offset="1pt" offset2="-1pt"/>
              <v:textbox style="mso-next-textbox:#_x0000_s1054">
                <w:txbxContent>
                  <w:p w:rsidR="00BB2623" w:rsidRPr="009560FB" w:rsidRDefault="00BB2623" w:rsidP="007171E6">
                    <w:pPr>
                      <w:jc w:val="center"/>
                      <w:rPr>
                        <w:b/>
                        <w:sz w:val="16"/>
                        <w:szCs w:val="16"/>
                      </w:rPr>
                    </w:pPr>
                    <w:r>
                      <w:rPr>
                        <w:b/>
                      </w:rPr>
                      <w:t xml:space="preserve">X2 </w:t>
                    </w:r>
                    <w:r w:rsidRPr="009560FB">
                      <w:rPr>
                        <w:b/>
                        <w:sz w:val="16"/>
                        <w:szCs w:val="16"/>
                      </w:rPr>
                      <w:t>Intellectua</w:t>
                    </w:r>
                    <w:r>
                      <w:rPr>
                        <w:b/>
                        <w:sz w:val="16"/>
                        <w:szCs w:val="16"/>
                      </w:rPr>
                      <w:t>l</w:t>
                    </w:r>
                    <w:r w:rsidRPr="009560FB">
                      <w:rPr>
                        <w:b/>
                        <w:sz w:val="16"/>
                        <w:szCs w:val="16"/>
                      </w:rPr>
                      <w:t xml:space="preserve"> function</w:t>
                    </w:r>
                  </w:p>
                  <w:p w:rsidR="00BB2623" w:rsidRPr="009560FB" w:rsidRDefault="00BB2623" w:rsidP="007171E6">
                    <w:pPr>
                      <w:jc w:val="center"/>
                      <w:rPr>
                        <w:b/>
                        <w:sz w:val="16"/>
                        <w:szCs w:val="16"/>
                      </w:rPr>
                    </w:pPr>
                  </w:p>
                </w:txbxContent>
              </v:textbox>
            </v:rect>
            <v:rect id="_x0000_s1055" style="position:absolute;left:5548;top:4491;width:1023;height:542" fillcolor="#f79646 [3209]" strokecolor="#f2f2f2 [3041]" strokeweight="3pt">
              <v:shadow on="t" type="perspective" color="#974706 [1609]" opacity=".5" offset="1pt" offset2="-1pt"/>
              <v:textbox style="mso-next-textbox:#_x0000_s1055">
                <w:txbxContent>
                  <w:p w:rsidR="00BB2623" w:rsidRPr="0078400D" w:rsidRDefault="00BB2623" w:rsidP="007171E6">
                    <w:pPr>
                      <w:jc w:val="center"/>
                      <w:rPr>
                        <w:b/>
                        <w:color w:val="002060"/>
                      </w:rPr>
                    </w:pPr>
                    <w:r w:rsidRPr="0078400D">
                      <w:rPr>
                        <w:b/>
                        <w:color w:val="002060"/>
                      </w:rPr>
                      <w:t>Y</w:t>
                    </w:r>
                  </w:p>
                  <w:p w:rsidR="00BB2623" w:rsidRPr="0078400D" w:rsidRDefault="00BB2623" w:rsidP="007171E6">
                    <w:pPr>
                      <w:jc w:val="center"/>
                      <w:rPr>
                        <w:b/>
                        <w:color w:val="002060"/>
                      </w:rPr>
                    </w:pPr>
                    <w:r>
                      <w:rPr>
                        <w:b/>
                        <w:color w:val="002060"/>
                      </w:rPr>
                      <w:t>Aktivity</w:t>
                    </w:r>
                  </w:p>
                </w:txbxContent>
              </v:textbox>
            </v:rect>
            <v:rect id="_x0000_s1056" style="position:absolute;left:7129;top:4372;width:1094;height:767" fillcolor="#f79646 [3209]" strokecolor="#f2f2f2 [3041]" strokeweight="3pt">
              <v:shadow on="t" type="perspective" color="#974706 [1609]" opacity=".5" offset="1pt" offset2="-1pt"/>
              <v:textbox style="mso-next-textbox:#_x0000_s1056">
                <w:txbxContent>
                  <w:p w:rsidR="00BB2623" w:rsidRPr="00C001B1" w:rsidRDefault="00BB2623" w:rsidP="007171E6">
                    <w:pPr>
                      <w:jc w:val="center"/>
                      <w:rPr>
                        <w:b/>
                        <w:color w:val="C00000"/>
                      </w:rPr>
                    </w:pPr>
                    <w:r w:rsidRPr="00C001B1">
                      <w:rPr>
                        <w:b/>
                        <w:color w:val="C00000"/>
                      </w:rPr>
                      <w:t>Z</w:t>
                    </w:r>
                  </w:p>
                  <w:p w:rsidR="00BB2623" w:rsidRPr="00C001B1" w:rsidRDefault="00BB2623" w:rsidP="007171E6">
                    <w:pPr>
                      <w:jc w:val="center"/>
                      <w:rPr>
                        <w:b/>
                        <w:color w:val="C00000"/>
                      </w:rPr>
                    </w:pPr>
                    <w:r w:rsidRPr="00C001B1">
                      <w:rPr>
                        <w:b/>
                        <w:color w:val="C00000"/>
                      </w:rPr>
                      <w:t>Nutritional</w:t>
                    </w:r>
                  </w:p>
                  <w:p w:rsidR="00BB2623" w:rsidRPr="00C001B1" w:rsidRDefault="00BB2623" w:rsidP="007171E6">
                    <w:pPr>
                      <w:jc w:val="center"/>
                      <w:rPr>
                        <w:b/>
                        <w:color w:val="C00000"/>
                      </w:rPr>
                    </w:pPr>
                    <w:r w:rsidRPr="00C001B1">
                      <w:rPr>
                        <w:b/>
                        <w:color w:val="C00000"/>
                      </w:rPr>
                      <w:t>status</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57" type="#_x0000_t38" style="position:absolute;left:5621;top:3256;width:149;height:3961;rotation:90;flip:x y" o:connectortype="curved" adj="-36742,62350,387130" strokecolor="#f79646 [3209]">
              <v:stroke endarrow="block"/>
            </v:shape>
            <v:shapetype id="_x0000_t32" coordsize="21600,21600" o:spt="32" o:oned="t" path="m,l21600,21600e" filled="f">
              <v:path arrowok="t" fillok="f" o:connecttype="none"/>
              <o:lock v:ext="edit" shapetype="t"/>
            </v:shapetype>
            <v:shape id="_x0000_s1058" type="#_x0000_t32" style="position:absolute;left:4152;top:4308;width:1373;height:454" o:connectortype="straight" strokecolor="#f79646 [3209]">
              <v:stroke endarrow="block"/>
            </v:shape>
            <v:shape id="_x0000_s1059" type="#_x0000_t32" style="position:absolute;left:4225;top:4762;width:1300;height:224;flip:y" o:connectortype="straight" strokecolor="#f79646 [3209]">
              <v:stroke endarrow="block"/>
            </v:shape>
            <v:shape id="_x0000_s1060" type="#_x0000_t38" style="position:absolute;left:3205;top:4308;width:82;height:678;rotation:180;flip:y" o:connectortype="curved" adj="88845,331959,-595019" strokecolor="#f79646 [3209]">
              <v:stroke startarrow="block" endarrow="block"/>
            </v:shape>
            <v:shape id="_x0000_s1061" type="#_x0000_t32" style="position:absolute;left:7833;top:3908;width:1;height:469" o:connectortype="straight" strokecolor="#e36c0a [2409]">
              <v:stroke endarrow="block"/>
            </v:shape>
            <v:shape id="_x0000_s1062" type="#_x0000_t32" style="position:absolute;left:6290;top:5524;width:1469;height:16;flip:y" o:connectortype="straight" strokecolor="#f79646 [3209]"/>
            <v:shape id="_x0000_s1063" type="#_x0000_t32" style="position:absolute;left:7760;top:5162;width:1;height:362;flip:y" o:connectortype="straight" strokecolor="#e36c0a [2409]">
              <v:stroke endarrow="block"/>
            </v:shape>
            <v:shape id="_x0000_s1064" type="#_x0000_t32" style="position:absolute;left:6594;top:4762;width:466;height:20" o:connectortype="straight" strokecolor="#f79646 [3209]">
              <v:stroke endarrow="block"/>
            </v:shape>
            <v:shapetype id="_x0000_t202" coordsize="21600,21600" o:spt="202" path="m,l,21600r21600,l21600,xe">
              <v:stroke joinstyle="miter"/>
              <v:path gradientshapeok="t" o:connecttype="rect"/>
            </v:shapetype>
            <v:shape id="_x0000_s1065" type="#_x0000_t202" style="position:absolute;left:5458;top:5214;width:958;height:310" strokecolor="white [3212]">
              <v:textbox style="mso-next-textbox:#_x0000_s1065">
                <w:txbxContent>
                  <w:p w:rsidR="00BB2623" w:rsidRPr="00D25C7D" w:rsidRDefault="00BB2623" w:rsidP="007171E6">
                    <w:pPr>
                      <w:jc w:val="center"/>
                      <w:rPr>
                        <w:vertAlign w:val="subscript"/>
                      </w:rPr>
                    </w:pPr>
                    <w:r w:rsidRPr="00D25C7D">
                      <w:t>P</w:t>
                    </w:r>
                    <w:r w:rsidRPr="00D25C7D">
                      <w:rPr>
                        <w:vertAlign w:val="subscript"/>
                      </w:rPr>
                      <w:t xml:space="preserve">zx2 </w:t>
                    </w:r>
                    <w:r w:rsidRPr="00D25C7D">
                      <w:t>=0,136</w:t>
                    </w:r>
                  </w:p>
                </w:txbxContent>
              </v:textbox>
            </v:shape>
            <v:shape id="_x0000_s1066" type="#_x0000_t202" style="position:absolute;left:5037;top:3711;width:1129;height:355" strokecolor="white [3212]">
              <v:textbox style="mso-next-textbox:#_x0000_s1066">
                <w:txbxContent>
                  <w:p w:rsidR="00BB2623" w:rsidRPr="00D25C7D" w:rsidRDefault="00BB2623" w:rsidP="007171E6">
                    <w:pPr>
                      <w:jc w:val="center"/>
                      <w:rPr>
                        <w:vertAlign w:val="subscript"/>
                      </w:rPr>
                    </w:pPr>
                    <w:r w:rsidRPr="00D25C7D">
                      <w:t>P</w:t>
                    </w:r>
                    <w:r w:rsidRPr="00D25C7D">
                      <w:rPr>
                        <w:vertAlign w:val="subscript"/>
                      </w:rPr>
                      <w:t xml:space="preserve">zx1 </w:t>
                    </w:r>
                    <w:r w:rsidRPr="00D25C7D">
                      <w:t>=0,002</w:t>
                    </w:r>
                  </w:p>
                  <w:p w:rsidR="00BB2623" w:rsidRPr="00D25C7D" w:rsidRDefault="00BB2623" w:rsidP="007171E6"/>
                </w:txbxContent>
              </v:textbox>
            </v:shape>
            <v:shape id="_x0000_s1067" type="#_x0000_t202" style="position:absolute;left:4302;top:3966;width:1008;height:313" strokecolor="white [3212]">
              <v:textbox style="mso-next-textbox:#_x0000_s1067">
                <w:txbxContent>
                  <w:p w:rsidR="00BB2623" w:rsidRPr="00D25C7D" w:rsidRDefault="00BB2623" w:rsidP="007171E6">
                    <w:pPr>
                      <w:rPr>
                        <w:vertAlign w:val="subscript"/>
                      </w:rPr>
                    </w:pPr>
                    <w:r w:rsidRPr="00D25C7D">
                      <w:t>P</w:t>
                    </w:r>
                    <w:r>
                      <w:rPr>
                        <w:vertAlign w:val="subscript"/>
                      </w:rPr>
                      <w:t>y</w:t>
                    </w:r>
                    <w:r w:rsidRPr="00D25C7D">
                      <w:rPr>
                        <w:vertAlign w:val="subscript"/>
                      </w:rPr>
                      <w:t xml:space="preserve">x2 </w:t>
                    </w:r>
                    <w:r>
                      <w:t>=0,401</w:t>
                    </w:r>
                  </w:p>
                </w:txbxContent>
              </v:textbox>
            </v:shape>
            <v:shape id="_x0000_s1068" type="#_x0000_t202" style="position:absolute;left:4302;top:5162;width:1156;height:303" strokecolor="white [3212]">
              <v:textbox style="mso-next-textbox:#_x0000_s1068">
                <w:txbxContent>
                  <w:p w:rsidR="00BB2623" w:rsidRPr="00D25C7D" w:rsidRDefault="00BB2623" w:rsidP="007171E6">
                    <w:pPr>
                      <w:rPr>
                        <w:vertAlign w:val="subscript"/>
                      </w:rPr>
                    </w:pPr>
                    <w:r w:rsidRPr="00D25C7D">
                      <w:t>P</w:t>
                    </w:r>
                    <w:r w:rsidRPr="00D25C7D">
                      <w:rPr>
                        <w:vertAlign w:val="subscript"/>
                      </w:rPr>
                      <w:t xml:space="preserve">yx2 </w:t>
                    </w:r>
                    <w:r w:rsidRPr="00D25C7D">
                      <w:t>= -,</w:t>
                    </w:r>
                    <w:r>
                      <w:t>0,</w:t>
                    </w:r>
                    <w:r w:rsidRPr="00D25C7D">
                      <w:t>047</w:t>
                    </w:r>
                  </w:p>
                </w:txbxContent>
              </v:textbox>
            </v:shape>
            <v:shape id="_x0000_s1070" type="#_x0000_t202" style="position:absolute;left:6975;top:5583;width:1290;height:303" strokecolor="white [3212]">
              <v:textbox style="mso-next-textbox:#_x0000_s1070">
                <w:txbxContent>
                  <w:p w:rsidR="00BB2623" w:rsidRPr="00D25C7D" w:rsidRDefault="00BB2623" w:rsidP="007171E6">
                    <w:pPr>
                      <w:jc w:val="center"/>
                      <w:rPr>
                        <w:vertAlign w:val="subscript"/>
                      </w:rPr>
                    </w:pPr>
                    <w:r w:rsidRPr="00D25C7D">
                      <w:t xml:space="preserve">R </w:t>
                    </w:r>
                    <w:r w:rsidRPr="00D25C7D">
                      <w:rPr>
                        <w:vertAlign w:val="superscript"/>
                      </w:rPr>
                      <w:t>2</w:t>
                    </w:r>
                    <w:r w:rsidRPr="00D25C7D">
                      <w:rPr>
                        <w:vertAlign w:val="subscript"/>
                      </w:rPr>
                      <w:t xml:space="preserve">Square </w:t>
                    </w:r>
                    <w:r w:rsidRPr="00D25C7D">
                      <w:t>=0,821</w:t>
                    </w:r>
                  </w:p>
                </w:txbxContent>
              </v:textbox>
            </v:shape>
            <v:shape id="_x0000_s1071" type="#_x0000_t202" style="position:absolute;left:7256;top:3653;width:1009;height:313" strokecolor="white [3212]">
              <v:textbox style="mso-next-textbox:#_x0000_s1071">
                <w:txbxContent>
                  <w:p w:rsidR="00BB2623" w:rsidRPr="00D25C7D" w:rsidRDefault="00BB2623" w:rsidP="007171E6">
                    <w:pPr>
                      <w:jc w:val="center"/>
                      <w:rPr>
                        <w:vertAlign w:val="subscript"/>
                      </w:rPr>
                    </w:pPr>
                    <w:r w:rsidRPr="00D25C7D">
                      <w:t>P</w:t>
                    </w:r>
                    <w:r w:rsidRPr="00D25C7D">
                      <w:rPr>
                        <w:vertAlign w:val="subscript"/>
                      </w:rPr>
                      <w:t xml:space="preserve">z </w:t>
                    </w:r>
                    <w:r w:rsidRPr="00D25C7D">
                      <w:t>=0,179</w:t>
                    </w:r>
                  </w:p>
                </w:txbxContent>
              </v:textbox>
            </v:shape>
            <v:shape id="_x0000_s1072" type="#_x0000_t32" style="position:absolute;left:6059;top:3966;width:1;height:502" o:connectortype="straight" strokecolor="#f79646 [3209]">
              <v:stroke endarrow="block"/>
            </v:shape>
            <v:shape id="_x0000_s1073" type="#_x0000_t202" style="position:absolute;left:6230;top:4150;width:830;height:318" strokecolor="white [3212]">
              <v:textbox style="mso-next-textbox:#_x0000_s1073">
                <w:txbxContent>
                  <w:p w:rsidR="00BB2623" w:rsidRPr="00D25C7D" w:rsidRDefault="00BB2623" w:rsidP="007171E6">
                    <w:pPr>
                      <w:rPr>
                        <w:vertAlign w:val="subscript"/>
                      </w:rPr>
                    </w:pPr>
                    <w:r w:rsidRPr="00D25C7D">
                      <w:t>P</w:t>
                    </w:r>
                    <w:r w:rsidRPr="00D25C7D">
                      <w:rPr>
                        <w:vertAlign w:val="subscript"/>
                      </w:rPr>
                      <w:t xml:space="preserve">y </w:t>
                    </w:r>
                    <w:r w:rsidRPr="00D25C7D">
                      <w:t>=0,819</w:t>
                    </w:r>
                  </w:p>
                </w:txbxContent>
              </v:textbox>
            </v:shape>
            <v:shape id="_x0000_s1074" type="#_x0000_t38" style="position:absolute;left:5533;top:2207;width:329;height:3956;rotation:270;flip:y" o:connectortype="curved" adj="-16654,-55369,175778" strokecolor="#f79646 [3209]">
              <v:stroke endarrow="block"/>
            </v:shape>
            <w10:wrap type="square"/>
          </v:group>
        </w:pict>
      </w: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7171E6" w:rsidRDefault="007171E6" w:rsidP="00904D6D">
      <w:pPr>
        <w:rPr>
          <w:b/>
          <w:bCs/>
        </w:rPr>
      </w:pPr>
    </w:p>
    <w:p w:rsidR="00297126" w:rsidRDefault="00297126" w:rsidP="00904D6D">
      <w:pPr>
        <w:rPr>
          <w:b/>
          <w:bCs/>
        </w:rPr>
      </w:pPr>
    </w:p>
    <w:p w:rsidR="00123F0E" w:rsidRDefault="00123F0E" w:rsidP="00904D6D">
      <w:pPr>
        <w:rPr>
          <w:b/>
          <w:bCs/>
        </w:rPr>
      </w:pPr>
    </w:p>
    <w:p w:rsidR="00123F0E" w:rsidRDefault="00123F0E" w:rsidP="00904D6D">
      <w:pPr>
        <w:rPr>
          <w:b/>
          <w:bCs/>
        </w:rPr>
      </w:pPr>
    </w:p>
    <w:p w:rsidR="00123F0E" w:rsidRDefault="00123F0E" w:rsidP="00904D6D">
      <w:pPr>
        <w:rPr>
          <w:b/>
          <w:bCs/>
        </w:rPr>
      </w:pPr>
    </w:p>
    <w:p w:rsidR="005D19AF" w:rsidRPr="005D19AF" w:rsidRDefault="00297126" w:rsidP="005D19AF">
      <w:pPr>
        <w:rPr>
          <w:bCs/>
        </w:rPr>
      </w:pPr>
      <w:r w:rsidRPr="00297126">
        <w:rPr>
          <w:bCs/>
        </w:rPr>
        <w:t xml:space="preserve">Figure 1. The pathway of causal </w:t>
      </w:r>
      <w:r w:rsidR="00E17E8F">
        <w:rPr>
          <w:bCs/>
        </w:rPr>
        <w:t>relationship impiris age, intellectual function</w:t>
      </w:r>
      <w:r w:rsidRPr="00297126">
        <w:rPr>
          <w:bCs/>
        </w:rPr>
        <w:t xml:space="preserve"> and activity to nutritional status</w:t>
      </w:r>
    </w:p>
    <w:p w:rsidR="00E371EA" w:rsidRPr="00C02602" w:rsidRDefault="005D19AF" w:rsidP="0030589C">
      <w:pPr>
        <w:jc w:val="both"/>
        <w:rPr>
          <w:b/>
          <w:bCs/>
        </w:rPr>
      </w:pPr>
      <w:r>
        <w:rPr>
          <w:b/>
          <w:bCs/>
        </w:rPr>
        <w:lastRenderedPageBreak/>
        <w:t>3.3</w:t>
      </w:r>
      <w:r w:rsidR="0030589C" w:rsidRPr="00C02602">
        <w:rPr>
          <w:b/>
          <w:bCs/>
        </w:rPr>
        <w:t>.  Age contributions through activity to nutritional status</w:t>
      </w:r>
    </w:p>
    <w:p w:rsidR="00E371EA" w:rsidRDefault="0030589C" w:rsidP="0030589C">
      <w:pPr>
        <w:ind w:firstLine="720"/>
        <w:jc w:val="both"/>
        <w:rPr>
          <w:bCs/>
        </w:rPr>
      </w:pPr>
      <w:r w:rsidRPr="0030589C">
        <w:rPr>
          <w:bCs/>
        </w:rPr>
        <w:t>Results of age impact analysis through activit</w:t>
      </w:r>
      <w:r w:rsidR="00585052">
        <w:rPr>
          <w:bCs/>
        </w:rPr>
        <w:t>y to nutritional status in tabel 3 and Figure 1</w:t>
      </w:r>
      <w:r w:rsidRPr="0030589C">
        <w:rPr>
          <w:bCs/>
        </w:rPr>
        <w:t>. It is known that the effect of the age given to the nutritional status of 0.002, while the indirect influence of the age through activity to the nutritional status is</w:t>
      </w:r>
      <w:r>
        <w:rPr>
          <w:bCs/>
        </w:rPr>
        <w:t xml:space="preserve"> </w:t>
      </w:r>
      <w:r w:rsidRPr="0030589C">
        <w:rPr>
          <w:bCs/>
        </w:rPr>
        <w:t>-0.047 x 0.841 =</w:t>
      </w:r>
      <w:r>
        <w:rPr>
          <w:bCs/>
        </w:rPr>
        <w:t xml:space="preserve"> </w:t>
      </w:r>
      <w:r w:rsidRPr="0030589C">
        <w:rPr>
          <w:bCs/>
        </w:rPr>
        <w:t>-0.039. Hence the total influence given age to nutritional status is 0.002 + (-0039) =-0037. Based on the results of the calculation above the direct influence of 0.002 &gt;-0.039 indirect influence, this result indicates that indirectly the age through activity has no</w:t>
      </w:r>
      <w:r w:rsidRPr="0030589C">
        <w:rPr>
          <w:bCs/>
          <w:color w:val="FF0000"/>
        </w:rPr>
        <w:t xml:space="preserve"> </w:t>
      </w:r>
      <w:r w:rsidRPr="005D19AF">
        <w:rPr>
          <w:bCs/>
        </w:rPr>
        <w:t>significant</w:t>
      </w:r>
      <w:r w:rsidRPr="0030589C">
        <w:rPr>
          <w:bCs/>
        </w:rPr>
        <w:t xml:space="preserve"> </w:t>
      </w:r>
      <w:r>
        <w:rPr>
          <w:bCs/>
        </w:rPr>
        <w:t xml:space="preserve">(negative) </w:t>
      </w:r>
      <w:r w:rsidRPr="0030589C">
        <w:rPr>
          <w:bCs/>
        </w:rPr>
        <w:t>effect on nutritional status.</w:t>
      </w:r>
      <w:r>
        <w:rPr>
          <w:bCs/>
        </w:rPr>
        <w:t xml:space="preserve"> </w:t>
      </w:r>
      <w:r w:rsidRPr="0030589C">
        <w:rPr>
          <w:bCs/>
        </w:rPr>
        <w:t>The condition is likely due to the elderly that the majority of men aged 60-69 years 62.86% and have a certain disease, the work of the majority of peasants who do not pay attention to nutritional intake and knowledge of poor nutrition.</w:t>
      </w:r>
    </w:p>
    <w:p w:rsidR="00DC36BC" w:rsidRDefault="00585052" w:rsidP="00585052">
      <w:pPr>
        <w:ind w:firstLine="720"/>
        <w:jc w:val="both"/>
        <w:rPr>
          <w:bCs/>
        </w:rPr>
      </w:pPr>
      <w:r w:rsidRPr="00585052">
        <w:rPr>
          <w:bCs/>
        </w:rPr>
        <w:t>In table 3 shows the contribution of age to the status of nutrition indirectly affects the nutritional status of 0.0022 = 0.000004 = 0.0004%, very small of age affects the nutritional status of elderly.</w:t>
      </w:r>
      <w:r w:rsidR="00DC36BC" w:rsidRPr="00DC36BC">
        <w:t xml:space="preserve"> </w:t>
      </w:r>
      <w:r w:rsidR="00DC36BC" w:rsidRPr="00DC36BC">
        <w:rPr>
          <w:bCs/>
        </w:rPr>
        <w:t>In table 5 age contributions that do not directly affect activity amounting to-0.0472 =-0.0022 =-0.220%</w:t>
      </w:r>
      <w:r>
        <w:rPr>
          <w:bCs/>
        </w:rPr>
        <w:t xml:space="preserve"> </w:t>
      </w:r>
    </w:p>
    <w:p w:rsidR="0030589C" w:rsidRDefault="00DD5984" w:rsidP="00585052">
      <w:pPr>
        <w:ind w:firstLine="720"/>
        <w:jc w:val="both"/>
        <w:rPr>
          <w:bCs/>
        </w:rPr>
      </w:pPr>
      <w:r w:rsidRPr="00DD5984">
        <w:rPr>
          <w:bCs/>
        </w:rPr>
        <w:t>The results were not in line with Ibrahim's research stating that age also has an effect on nu</w:t>
      </w:r>
      <w:r w:rsidR="00E17E8F">
        <w:rPr>
          <w:bCs/>
        </w:rPr>
        <w:t xml:space="preserve">tritional status </w:t>
      </w:r>
      <w:r w:rsidR="009D32D1">
        <w:rPr>
          <w:bCs/>
        </w:rPr>
        <w:fldChar w:fldCharType="begin" w:fldLock="1"/>
      </w:r>
      <w:r w:rsidR="00697A07">
        <w:rPr>
          <w:bCs/>
        </w:rPr>
        <w:instrText>ADDIN CSL_CITATION {"citationItems":[{"id":"ITEM-1","itemData":{"abstract":"Masalah gizi adalah masalah yang mungkin terjadi pada lansia yang erat kaitannya dengan masukan makanan dan metabolisme tubuh serta faktor-faktor yang mempengaruhinya. Hal ini disebabkan oleh terjadinya proses degradasi yang berlangsung sangat cepat yang mengakibatkan terjadinya perubahan status gizi. Penelitian ini bertujuan untuk mengetahui pengaruh faktor-faktor yang mempengaruhi kebutuhan gizi lanjut usia di Unit Pelaksana Teknis Dinas (UPTD) Rumoh Seujahtera Geunaseh Sayang Banda Aceh Tahun 2011. Desain penelitian yang digunakan deskriptive corelative dengan pendekatan cross sectional study. Penelitian ini dilakukan dari tanggal 26 - 29 Oktober 2011 di Unit Pelaksana Teknis Dinas (UPTD) Rumoh Seujahtera Geunaseh Sayang Banda Aceh dengan jumlah responden 49 orang. Alat pengumpulan data menggunakan kuesioner dalam bentuk dikotomi. Tehnik pengambilan sampel yang digunakan total sampling, analisa bivariat dengan mengunakan uji statistik chi-square test (x2). Hasil penelitian menunjukkan ada hubungan faktor-faktor yang mempengaruhi kebutuhan gizi dengan status gizi lanjut usia, diantaranya aktivitas fisik, depresi dan kondisi mental, pengobatan, penyakit dan kemunduran biologis dengan status gizi lanjut usia dengan nilai p-value &lt; 0,05. Kesimpulan hasil penelitian didapatkan bahwa status gizi lansia sudah berada dalam kategori normal, maka peneliti menyarankan kepada Kepala Unit Pelaksana Teknis Dinas (UPTD) Rumoh Seujahtera Geunaseh Sayang Banda Aceh agar dapat mengoptimalkan perhatian terhadap makanan yang dikonsumsi lansia guna mencapai status gizi yang normal dan dalam memberikan obat kepada lansia agar lebih memperhatikan daya penyerapan obat tanpa mempengaruhi status gizi lansia, dan peneliti selanjutnya dapat menjadikan referensi untuk melihat lebih lanjut tentang hubungan faktor-faktor yang mempengaruhi kebutuhan gizi dengan status gizi lanjut usia.","author":[{"dropping-particle":"","family":"Ibrahim","given":"","non-dropping-particle":"","parse-names":false,"suffix":""}],"container-title":"Idea Nursing Journal","id":"ITEM-1","issue":"2","issued":{"date-parts":[["2012"]]},"page":"51-62","title":"\"Relationship factors affecting the nutritional needs in the UPTD House of Geunaseh Sayang, Banda Aceh\"","type":"article-journal","volume":"III"},"uris":["http://www.mendeley.com/documents/?uuid=c6139cdf-3775-4b28-897a-cb07224c5596"]}],"mendeley":{"formattedCitation":"(10)","manualFormatting":"[10]","plainTextFormattedCitation":"(10)","previouslyFormattedCitation":"(10)"},"properties":{"noteIndex":0},"schema":"https://github.com/citation-style-language/schema/raw/master/csl-citation.json"}</w:instrText>
      </w:r>
      <w:r w:rsidR="009D32D1">
        <w:rPr>
          <w:bCs/>
        </w:rPr>
        <w:fldChar w:fldCharType="separate"/>
      </w:r>
      <w:r w:rsidR="00697A07">
        <w:rPr>
          <w:bCs/>
          <w:noProof/>
        </w:rPr>
        <w:t>[</w:t>
      </w:r>
      <w:r w:rsidR="00566730" w:rsidRPr="00352310">
        <w:rPr>
          <w:bCs/>
          <w:noProof/>
        </w:rPr>
        <w:t>10</w:t>
      </w:r>
      <w:r w:rsidR="00697A07">
        <w:rPr>
          <w:bCs/>
          <w:noProof/>
        </w:rPr>
        <w:t>]</w:t>
      </w:r>
      <w:r w:rsidR="009D32D1">
        <w:rPr>
          <w:bCs/>
        </w:rPr>
        <w:fldChar w:fldCharType="end"/>
      </w:r>
      <w:r w:rsidR="00697A07" w:rsidRPr="00DD5984">
        <w:rPr>
          <w:bCs/>
        </w:rPr>
        <w:t xml:space="preserve"> </w:t>
      </w:r>
      <w:r w:rsidRPr="00DD5984">
        <w:rPr>
          <w:bCs/>
        </w:rPr>
        <w:t>. It is theoretically mentioned that increasing age will cause the elderly to undergo changes in body organs that affect the disturbance of organ function and decrease in deficiency so that lean body mass decreases p</w:t>
      </w:r>
      <w:r w:rsidR="00A02BD0">
        <w:rPr>
          <w:bCs/>
        </w:rPr>
        <w:t>rogressively.</w:t>
      </w:r>
      <w:r w:rsidRPr="00DD5984">
        <w:rPr>
          <w:bCs/>
        </w:rPr>
        <w:t xml:space="preserve">  People who are 70 years old, nutritional needs are the same as they are 50 years old, but their appetite tends to decline and there is more activity to make appetite decline. Therefore, the nutritional needs of Mencukui is very important for elderly through the empowerment of consumption of</w:t>
      </w:r>
      <w:r w:rsidR="0076152F">
        <w:rPr>
          <w:bCs/>
        </w:rPr>
        <w:t xml:space="preserve"> full nutrition </w:t>
      </w:r>
      <w:r w:rsidR="009D32D1">
        <w:rPr>
          <w:bCs/>
        </w:rPr>
        <w:fldChar w:fldCharType="begin" w:fldLock="1"/>
      </w:r>
      <w:r w:rsidR="00697A07">
        <w:rPr>
          <w:bCs/>
        </w:rPr>
        <w:instrText>ADDIN CSL_CITATION {"citationItems":[{"id":"ITEM-1","itemData":{"author":[{"dropping-particle":"","family":"Wirakusumah","given":"Emma S","non-dropping-particle":"","parse-names":false,"suffix":""}],"edition":"1","id":"ITEM-1","issued":{"date-parts":[["2002"]]},"publisher":"Puspa Swara","publisher-place":"Jakarta","title":"\"Healthy Menu for elderly\"","type":"book"},"uris":["http://www.mendeley.com/documents/?uuid=2686ab96-d363-4ad3-98cb-99b1ec434ba9"]}],"mendeley":{"formattedCitation":"(11)","manualFormatting":"[11]","plainTextFormattedCitation":"(11)","previouslyFormattedCitation":"(11)"},"properties":{"noteIndex":0},"schema":"https://github.com/citation-style-language/schema/raw/master/csl-citation.json"}</w:instrText>
      </w:r>
      <w:r w:rsidR="009D32D1">
        <w:rPr>
          <w:bCs/>
        </w:rPr>
        <w:fldChar w:fldCharType="separate"/>
      </w:r>
      <w:r w:rsidR="00697A07">
        <w:rPr>
          <w:bCs/>
          <w:noProof/>
        </w:rPr>
        <w:t>[</w:t>
      </w:r>
      <w:r w:rsidR="00566730" w:rsidRPr="00352310">
        <w:rPr>
          <w:bCs/>
          <w:noProof/>
        </w:rPr>
        <w:t>11</w:t>
      </w:r>
      <w:r w:rsidR="00697A07">
        <w:rPr>
          <w:bCs/>
          <w:noProof/>
        </w:rPr>
        <w:t>]</w:t>
      </w:r>
      <w:r w:rsidR="009D32D1">
        <w:rPr>
          <w:bCs/>
        </w:rPr>
        <w:fldChar w:fldCharType="end"/>
      </w:r>
      <w:r w:rsidR="00697A07">
        <w:rPr>
          <w:bCs/>
        </w:rPr>
        <w:t xml:space="preserve"> </w:t>
      </w:r>
      <w:r w:rsidR="00123F0E">
        <w:rPr>
          <w:bCs/>
        </w:rPr>
        <w:t>.</w:t>
      </w:r>
    </w:p>
    <w:p w:rsidR="00DD5984" w:rsidRDefault="00DD5984" w:rsidP="0076152F">
      <w:pPr>
        <w:ind w:firstLine="720"/>
        <w:jc w:val="both"/>
        <w:rPr>
          <w:bCs/>
        </w:rPr>
      </w:pPr>
      <w:r w:rsidRPr="00DD5984">
        <w:rPr>
          <w:bCs/>
        </w:rPr>
        <w:t>In everyday life, human beings cannot be avoided from the aging process. In the elderly, there is a decline in brain function, resulting in decreased short-term recall, slowing down the ability to receive information, difficulty in knowing the objects, and doing daily activit</w:t>
      </w:r>
      <w:r w:rsidR="0076152F">
        <w:rPr>
          <w:bCs/>
        </w:rPr>
        <w:t xml:space="preserve">ies called amnesia or senile. </w:t>
      </w:r>
      <w:r w:rsidRPr="00DD5984">
        <w:rPr>
          <w:bCs/>
        </w:rPr>
        <w:t>Age 45-78 years old has decreased and the difference between male and female, activity and muscle function. Muscle strength in the age of elderly w</w:t>
      </w:r>
      <w:r w:rsidR="00352310">
        <w:rPr>
          <w:bCs/>
        </w:rPr>
        <w:t>ill reduce the power of m</w:t>
      </w:r>
      <w:r w:rsidR="00352310" w:rsidRPr="00352310">
        <w:rPr>
          <w:bCs/>
        </w:rPr>
        <w:t>uscles</w:t>
      </w:r>
      <w:r w:rsidRPr="00DD5984">
        <w:rPr>
          <w:bCs/>
        </w:rPr>
        <w:t xml:space="preserve"> because if excessive activity, it will be at risk of disability. With age Semakian increase, activities are also increasingly reduced. The high prevalence of falls in older people becomes a consequence of their dimi</w:t>
      </w:r>
      <w:r w:rsidR="0076152F">
        <w:rPr>
          <w:bCs/>
        </w:rPr>
        <w:t xml:space="preserve">nished muscular strength </w:t>
      </w:r>
      <w:r w:rsidR="009D32D1">
        <w:rPr>
          <w:bCs/>
        </w:rPr>
        <w:fldChar w:fldCharType="begin" w:fldLock="1"/>
      </w:r>
      <w:r w:rsidR="00697A07">
        <w:rPr>
          <w:bCs/>
        </w:rPr>
        <w:instrText>ADDIN CSL_CITATION {"citationItems":[{"id":"ITEM-1","itemData":{"ISBN":"92 4 156210 2","abstract":"The main body of this report discusses the epidemiological and social aspects of ageing, health and functional changes experienced with ageing, the impact of physical activity, assessment of the nutritional status of older persons, and nutritional guidelines for healthy ageing. Additional material covers food-based dietary guidelines for older adults —with particular emphasis on healthy ageing and prevention of chronic noncommunicable diseases—and guidelines for promoting physical activity among older persons.","author":[{"dropping-particle":"","family":"World Health Organization","given":"","non-dropping-particle":"","parse-names":false,"suffix":""},{"dropping-particle":"","family":"Tufts University School of Nutrition and Policy","given":"","non-dropping-particle":"","parse-names":false,"suffix":""}],"id":"ITEM-1","issued":{"date-parts":[["2002"]]},"page":"1-83","title":"\"Keep fit for life: Meeting the nutritional needs of older persons\"","type":"article-journal"},"uris":["http://www.mendeley.com/documents/?uuid=535ab13f-73e2-4bd0-acbc-926330f7f3bf"]}],"mendeley":{"formattedCitation":"(12)","manualFormatting":"[12]","plainTextFormattedCitation":"(12)","previouslyFormattedCitation":"(12)"},"properties":{"noteIndex":0},"schema":"https://github.com/citation-style-language/schema/raw/master/csl-citation.json"}</w:instrText>
      </w:r>
      <w:r w:rsidR="009D32D1">
        <w:rPr>
          <w:bCs/>
        </w:rPr>
        <w:fldChar w:fldCharType="separate"/>
      </w:r>
      <w:r w:rsidR="00697A07">
        <w:rPr>
          <w:bCs/>
          <w:noProof/>
        </w:rPr>
        <w:t>[</w:t>
      </w:r>
      <w:r w:rsidR="00566730" w:rsidRPr="00267899">
        <w:rPr>
          <w:bCs/>
          <w:noProof/>
        </w:rPr>
        <w:t>12</w:t>
      </w:r>
      <w:r w:rsidR="00697A07">
        <w:rPr>
          <w:bCs/>
          <w:noProof/>
        </w:rPr>
        <w:t>]</w:t>
      </w:r>
      <w:r w:rsidR="009D32D1">
        <w:rPr>
          <w:bCs/>
        </w:rPr>
        <w:fldChar w:fldCharType="end"/>
      </w:r>
      <w:r w:rsidR="00697A07">
        <w:rPr>
          <w:bCs/>
        </w:rPr>
        <w:t xml:space="preserve"> </w:t>
      </w:r>
      <w:r w:rsidR="0076152F">
        <w:rPr>
          <w:bCs/>
        </w:rPr>
        <w:t>.</w:t>
      </w:r>
    </w:p>
    <w:p w:rsidR="00DD5984" w:rsidRDefault="00DD5984" w:rsidP="00C001B1">
      <w:pPr>
        <w:ind w:firstLine="720"/>
        <w:jc w:val="both"/>
        <w:rPr>
          <w:bCs/>
        </w:rPr>
      </w:pPr>
      <w:r w:rsidRPr="00DD5984">
        <w:rPr>
          <w:bCs/>
        </w:rPr>
        <w:t>Increasing age, the elderly usually experience a decline in mental functioning. Starting from memory, mind acuity, until the ability to manage emotions can be interrupted. Especially if you've always worked all day before taking retirement. A brain that is not sharpened every day will rapidly decline its function. Physical activity is a way to train a healthy brain. When performing physical moves and activities, brain nerves will work and build healthy new cells to replace damaged or dead cells.</w:t>
      </w:r>
    </w:p>
    <w:p w:rsidR="00C001B1" w:rsidRDefault="00C001B1" w:rsidP="00C001B1">
      <w:pPr>
        <w:ind w:firstLine="720"/>
        <w:jc w:val="both"/>
        <w:rPr>
          <w:bCs/>
        </w:rPr>
      </w:pPr>
    </w:p>
    <w:p w:rsidR="00C001B1" w:rsidRPr="00C02602" w:rsidRDefault="005D19AF" w:rsidP="00C001B1">
      <w:pPr>
        <w:jc w:val="both"/>
        <w:rPr>
          <w:b/>
          <w:bCs/>
        </w:rPr>
      </w:pPr>
      <w:r>
        <w:rPr>
          <w:b/>
          <w:bCs/>
        </w:rPr>
        <w:t>3.4.</w:t>
      </w:r>
      <w:r w:rsidR="00C001B1" w:rsidRPr="00C02602">
        <w:rPr>
          <w:b/>
        </w:rPr>
        <w:t xml:space="preserve"> </w:t>
      </w:r>
      <w:r w:rsidR="002408E2" w:rsidRPr="00C02602">
        <w:rPr>
          <w:b/>
          <w:bCs/>
        </w:rPr>
        <w:t>Intellectual functions</w:t>
      </w:r>
      <w:r w:rsidR="00C001B1" w:rsidRPr="00C02602">
        <w:rPr>
          <w:b/>
          <w:bCs/>
        </w:rPr>
        <w:t xml:space="preserve"> contributions through activity to elderly nutritional status</w:t>
      </w:r>
    </w:p>
    <w:p w:rsidR="00C001B1" w:rsidRDefault="00C001B1" w:rsidP="00C001B1">
      <w:pPr>
        <w:ind w:firstLine="720"/>
        <w:jc w:val="both"/>
        <w:rPr>
          <w:bCs/>
        </w:rPr>
      </w:pPr>
      <w:r w:rsidRPr="00C001B1">
        <w:rPr>
          <w:bCs/>
        </w:rPr>
        <w:t xml:space="preserve">Analysis of mental influence through activity on the nutritional status </w:t>
      </w:r>
      <w:r w:rsidR="00A205BE">
        <w:rPr>
          <w:bCs/>
        </w:rPr>
        <w:t xml:space="preserve">in table 3 ang figure 1 </w:t>
      </w:r>
      <w:r w:rsidRPr="00C001B1">
        <w:rPr>
          <w:bCs/>
        </w:rPr>
        <w:t>of known direct influence given mentally to the nutritional status of 0.136, while indirect influence of gender through activity to nutritional status is 0.401 x 0.841 = 0</w:t>
      </w:r>
      <w:r w:rsidR="00585052">
        <w:rPr>
          <w:bCs/>
        </w:rPr>
        <w:t>.</w:t>
      </w:r>
      <w:r w:rsidRPr="00C001B1">
        <w:rPr>
          <w:bCs/>
        </w:rPr>
        <w:t>337 Hence the total influence given age to nutritional status is 0.136 + 0.337 = 0.473. Based on the results of the above calculations that the direct influence value is 0.136 and the indirect effect of 0.473 which means that the value of indirect influence is greater than the value of direct influence, these results indicate that indirectly the gender through activity has a significant influence on nutritional status</w:t>
      </w:r>
      <w:r>
        <w:rPr>
          <w:bCs/>
        </w:rPr>
        <w:t xml:space="preserve">. </w:t>
      </w:r>
    </w:p>
    <w:p w:rsidR="00585052" w:rsidRDefault="00585052" w:rsidP="00C001B1">
      <w:pPr>
        <w:ind w:firstLine="720"/>
        <w:jc w:val="both"/>
        <w:rPr>
          <w:bCs/>
        </w:rPr>
      </w:pPr>
      <w:r w:rsidRPr="00585052">
        <w:rPr>
          <w:bCs/>
        </w:rPr>
        <w:t>In table 3 The contribution of intellectual function directly affects the nutritional status of 0.1362 = 0.018 or 1.8%. This indicates that the intellectual function has an effect on nutritional status, the better the intellectual function and the better the nutritional status.</w:t>
      </w:r>
      <w:r w:rsidR="00DC36BC" w:rsidRPr="00DC36BC">
        <w:rPr>
          <w:bCs/>
        </w:rPr>
        <w:t xml:space="preserve"> In table 5 The contribution of intellectual function directly affects the activity of 0.4012 = 0.16 or 16%  </w:t>
      </w:r>
    </w:p>
    <w:p w:rsidR="00F86427" w:rsidRDefault="00F86427" w:rsidP="00F86427">
      <w:pPr>
        <w:ind w:firstLine="426"/>
        <w:jc w:val="both"/>
        <w:rPr>
          <w:bCs/>
        </w:rPr>
      </w:pPr>
      <w:r w:rsidRPr="00F86427">
        <w:rPr>
          <w:bCs/>
        </w:rPr>
        <w:t>Intellectual impairment is a collection of symptoms of the clinic consisting of impaired intellectual function and considerable memory that is adapted to cause disruption of daily life activities. This condition is rapidly increasing at the age of 60 to 85 years or older, which is less than 5% of seniors aged 60-74 years exper</w:t>
      </w:r>
      <w:r w:rsidR="0076152F">
        <w:rPr>
          <w:bCs/>
        </w:rPr>
        <w:t>ience dementia</w:t>
      </w:r>
      <w:r w:rsidRPr="00F86427">
        <w:rPr>
          <w:bCs/>
        </w:rPr>
        <w:t xml:space="preserve"> while the age after 85 of the incident was increased close to 50%. The thing that can cause interlektual disorders is depression so it needs to be distinguished by other intelle</w:t>
      </w:r>
      <w:r w:rsidR="0076152F">
        <w:rPr>
          <w:bCs/>
        </w:rPr>
        <w:t xml:space="preserve">ctual disorders </w:t>
      </w:r>
      <w:r w:rsidR="009D32D1">
        <w:rPr>
          <w:bCs/>
        </w:rPr>
        <w:fldChar w:fldCharType="begin" w:fldLock="1"/>
      </w:r>
      <w:r w:rsidR="00697A07">
        <w:rPr>
          <w:bCs/>
        </w:rPr>
        <w:instrText>ADDIN CSL_CITATION {"citationItems":[{"id":"ITEM-1","itemData":{"author":[{"dropping-particle":"","family":"Siburian","given":"Prima","non-dropping-particle":"","parse-names":false,"suffix":""}],"container-title":"e- Artikel","id":"ITEM-1","issued":{"date-parts":[["2020"]]},"publisher-place":"Surakarta","title":"\"Fourteen major health problems in the elderly\"","type":"article-magazine"},"uris":["http://www.mendeley.com/documents/?uuid=4ca13b07-d113-43d8-85e6-299c209dbe81"]}],"mendeley":{"formattedCitation":"(13)","manualFormatting":"[13]","plainTextFormattedCitation":"(13)","previouslyFormattedCitation":"(13)"},"properties":{"noteIndex":0},"schema":"https://github.com/citation-style-language/schema/raw/master/csl-citation.json"}</w:instrText>
      </w:r>
      <w:r w:rsidR="009D32D1">
        <w:rPr>
          <w:bCs/>
        </w:rPr>
        <w:fldChar w:fldCharType="separate"/>
      </w:r>
      <w:r w:rsidR="00697A07">
        <w:rPr>
          <w:bCs/>
          <w:noProof/>
        </w:rPr>
        <w:t>[</w:t>
      </w:r>
      <w:r w:rsidR="00566730" w:rsidRPr="004D5481">
        <w:rPr>
          <w:bCs/>
          <w:noProof/>
        </w:rPr>
        <w:t>13</w:t>
      </w:r>
      <w:r w:rsidR="00697A07">
        <w:rPr>
          <w:bCs/>
          <w:noProof/>
        </w:rPr>
        <w:t>]</w:t>
      </w:r>
      <w:r w:rsidR="009D32D1">
        <w:rPr>
          <w:bCs/>
        </w:rPr>
        <w:fldChar w:fldCharType="end"/>
      </w:r>
      <w:r w:rsidR="00697A07">
        <w:rPr>
          <w:bCs/>
        </w:rPr>
        <w:t xml:space="preserve"> </w:t>
      </w:r>
      <w:r>
        <w:rPr>
          <w:bCs/>
        </w:rPr>
        <w:t xml:space="preserve">. </w:t>
      </w:r>
      <w:r w:rsidRPr="00F86427">
        <w:rPr>
          <w:bCs/>
        </w:rPr>
        <w:t>Elderly mental conditions are often shown depressive symptoms. Symptoms of depression arising from the illness suffered by the elderly. Depression in the elderly is often not well diagnosed due to organic symptoms. Unhandled depression can reduce appetite, a passion for activity and can lower immunity of the body.</w:t>
      </w:r>
    </w:p>
    <w:p w:rsidR="00DD5984" w:rsidRDefault="00F86427" w:rsidP="0030589C">
      <w:pPr>
        <w:ind w:firstLine="720"/>
        <w:jc w:val="both"/>
        <w:rPr>
          <w:bCs/>
        </w:rPr>
      </w:pPr>
      <w:r w:rsidRPr="00F86427">
        <w:rPr>
          <w:bCs/>
        </w:rPr>
        <w:t>In lin</w:t>
      </w:r>
      <w:r w:rsidR="00123F0E">
        <w:rPr>
          <w:bCs/>
        </w:rPr>
        <w:t>e with Xiaolai's research</w:t>
      </w:r>
      <w:r w:rsidRPr="00F86427">
        <w:rPr>
          <w:bCs/>
        </w:rPr>
        <w:t xml:space="preserve"> stating that, the mental health of the older person significantly affects the nutritional needs, this is because in some aspects. First, when they have a high satisfaction status with life, social capital is correlated with better mental health. Secondly, consuming eating alone is associated with mental problems, such as depression, eating together which is beneficial for the mental health of older adults. Thirdly, as mentioned above, regular eating habits may reduce the incidence of mental illness, so that the feeding status is associated with a m</w:t>
      </w:r>
      <w:r w:rsidR="0076152F">
        <w:rPr>
          <w:bCs/>
        </w:rPr>
        <w:t xml:space="preserve">ental ststus </w:t>
      </w:r>
      <w:r w:rsidR="009D32D1">
        <w:rPr>
          <w:bCs/>
        </w:rPr>
        <w:fldChar w:fldCharType="begin" w:fldLock="1"/>
      </w:r>
      <w:r w:rsidR="00697A07">
        <w:rPr>
          <w:bCs/>
        </w:rPr>
        <w:instrText>ADDIN CSL_CITATION {"citationItems":[{"id":"ITEM-1","itemData":{"DOI":"https://doi.org/10.1007/s12603-016-0756-4","PMID":"27999848","abstract":"OBJECTIVE: This paper describes the trajectories of nutritional status and cognitive impairment and their correlation among older Taiwanese over 1 year after hip-fracture surgery. DESIGN: Secondary analysis of data from a clinical trial evaluating the effects of three types of post-discharge care for 292 older hip-fracture patients (age &gt;60 years). MEASUREMENTS: Nutritional status was assessed by the Mini Nutritional Assessment before and 1, 3, 6, 12 months after hospital discharge. Cognitive function was measured by the Mini-Mental State Examination before surgery, at hospital discharge, 6 and 12 months after discharge. Trajectories of nutritional status and cognitive impairment were depicted by latent class growth modeling, whereas linkages between nutritional-status and cognitive-impairment trajectories were assessed by multinomial logistic regression. RESULTS: Nutritional status in general improved significantly, particularly during the first 3 months after discharge. We identified three trajectories of nutritional status: malnourished (15.4%), at risk for malnutrition (38.9%), and well-nourished (45.7%). In contrast, cognitive changes followed four largely linear but distinct trajectories: moderately impaired (12.2%), mildly impaired (27.8%), borderline impaired (21.8%), and cognitively intact (38.2%). Trajectories of nutritional status were significantly associated with cognitive-function trajectories. For instance, relative to malnourished patients, well-nourished patients were 95% less likely (OR=0.05, CI =0.01-0.24) to be moderately cognitively impaired. CONCLUSION: A good nutritional-status trajectory after hip fracture was associated with better cognitive function. To treat and care for elderly hip-fractured patients, specific interventions need to target those who are malnourished or at risk of malnutrition to decrease their risk for cognitive impairment.","author":[{"dropping-particle":"","family":"Hp","given":"Wang","non-dropping-particle":"","parse-names":false,"suffix":""},{"dropping-particle":"","family":"J","given":"Liang","non-dropping-particle":"","parse-names":false,"suffix":""},{"dropping-particle":"","family":"LM","given":"Kuo","non-dropping-particle":"","parse-names":false,"suffix":""},{"dropping-particle":"","family":"CY","given":"Chen","non-dropping-particle":"","parse-names":false,"suffix":""},{"dropping-particle":"","family":"YI","given":"Shyu","non-dropping-particle":"","parse-names":false,"suffix":""}],"container-title":"J Nurt Health Aging","id":"ITEM-1","issued":{"date-parts":[["2017"]]},"page":"38-45","title":"\"Trajectories of nutritional status and cognitive impairment among older Taiwanese with hip fracture\"","type":"article-journal","volume":"21 (1)"},"uris":["http://www.mendeley.com/documents/?uuid=5ab6c308-661c-494a-be4f-113b8d970a70"]}],"mendeley":{"formattedCitation":"(14)","manualFormatting":"[14]","plainTextFormattedCitation":"(14)","previouslyFormattedCitation":"(14)"},"properties":{"noteIndex":0},"schema":"https://github.com/citation-style-language/schema/raw/master/csl-citation.json"}</w:instrText>
      </w:r>
      <w:r w:rsidR="009D32D1">
        <w:rPr>
          <w:bCs/>
        </w:rPr>
        <w:fldChar w:fldCharType="separate"/>
      </w:r>
      <w:r w:rsidR="00697A07">
        <w:rPr>
          <w:bCs/>
          <w:noProof/>
        </w:rPr>
        <w:t>[</w:t>
      </w:r>
      <w:r w:rsidR="00566730" w:rsidRPr="004D5481">
        <w:rPr>
          <w:bCs/>
          <w:noProof/>
        </w:rPr>
        <w:t>14</w:t>
      </w:r>
      <w:r w:rsidR="00697A07">
        <w:rPr>
          <w:bCs/>
          <w:noProof/>
        </w:rPr>
        <w:t>]</w:t>
      </w:r>
      <w:r w:rsidR="009D32D1">
        <w:rPr>
          <w:bCs/>
        </w:rPr>
        <w:fldChar w:fldCharType="end"/>
      </w:r>
      <w:r w:rsidR="00697A07" w:rsidRPr="00F86427">
        <w:rPr>
          <w:bCs/>
        </w:rPr>
        <w:t xml:space="preserve"> </w:t>
      </w:r>
      <w:r w:rsidRPr="00F86427">
        <w:rPr>
          <w:bCs/>
        </w:rPr>
        <w:t>.</w:t>
      </w:r>
    </w:p>
    <w:p w:rsidR="00F86427" w:rsidRDefault="00F86427" w:rsidP="0030589C">
      <w:pPr>
        <w:ind w:firstLine="720"/>
        <w:jc w:val="both"/>
        <w:rPr>
          <w:bCs/>
        </w:rPr>
      </w:pPr>
      <w:r w:rsidRPr="00F86427">
        <w:rPr>
          <w:bCs/>
        </w:rPr>
        <w:lastRenderedPageBreak/>
        <w:t>The decline of intellectual function can be a forgetfulness of the most mild form of mental disorders, this disorder is estimated to be complained of 39% elderly aged 50-59 years, increased to more than 85% at the age of more than 80 years. Various psychological factors affecting th</w:t>
      </w:r>
      <w:r w:rsidR="00123F0E">
        <w:rPr>
          <w:bCs/>
        </w:rPr>
        <w:t>e nutritional status of parents.</w:t>
      </w:r>
      <w:r w:rsidR="0076152F">
        <w:rPr>
          <w:bCs/>
        </w:rPr>
        <w:t xml:space="preserve"> </w:t>
      </w:r>
      <w:r w:rsidRPr="00F86427">
        <w:rPr>
          <w:bCs/>
        </w:rPr>
        <w:t xml:space="preserve"> The depression is increasingly known as a major health problem for elderly people, as a result of their depression, people may become incapable of conducting physical activity, including cooking and eating, and the appetite may change. Depression in the elderly is associated with chronic disease risk factors, including o</w:t>
      </w:r>
      <w:r w:rsidR="0034266E">
        <w:rPr>
          <w:bCs/>
        </w:rPr>
        <w:t xml:space="preserve">besity </w:t>
      </w:r>
      <w:r w:rsidR="009D32D1">
        <w:rPr>
          <w:bCs/>
        </w:rPr>
        <w:fldChar w:fldCharType="begin" w:fldLock="1"/>
      </w:r>
      <w:r w:rsidR="00697A07">
        <w:rPr>
          <w:bCs/>
        </w:rPr>
        <w:instrText>ADDIN CSL_CITATION {"citationItems":[{"id":"ITEM-1","itemData":{"ISSN":"21665435","PMID":"18082011","abstract":"Although public health is often conceptualized only as the prevention of physical illness, recent data suggest that mental illnesses are increasingly relevant to the mission of disease prevention and health promotion. Projections are that by 2020, depression will be second only to heart disease in its contribution to the global burden of disease as measured by disability-adjusted life years. Also, as the population ages, successive cohorts of older adults will account for increasingly larger segments of the U.S. population. We present the diagnostic criteria for, prevalence of, and risk factors for depressive disorders among older adults; the challenges of recognizing and treating depression in this population; the cost-effectiveness of relevant public health interventions; and the public health implications of these disorders.","author":[{"dropping-particle":"","family":"Chapman","given":"Daniel P.","non-dropping-particle":"","parse-names":false,"suffix":""},{"dropping-particle":"","family":"Perry","given":"Geraldine S.","non-dropping-particle":"","parse-names":false,"suffix":""}],"container-title":"Preventing Chronic Disease","id":"ITEM-1","issue":"1","issued":{"date-parts":[["2008"]]},"title":"\"Depression as a major component of public health for older adults\"","type":"article-journal","volume":"5"},"uris":["http://www.mendeley.com/documents/?uuid=c88adc3c-0804-472e-a35d-f902f48054dc"]}],"mendeley":{"formattedCitation":"(15)","manualFormatting":"[15]","plainTextFormattedCitation":"(15)","previouslyFormattedCitation":"(15)"},"properties":{"noteIndex":0},"schema":"https://github.com/citation-style-language/schema/raw/master/csl-citation.json"}</w:instrText>
      </w:r>
      <w:r w:rsidR="009D32D1">
        <w:rPr>
          <w:bCs/>
        </w:rPr>
        <w:fldChar w:fldCharType="separate"/>
      </w:r>
      <w:r w:rsidR="00697A07">
        <w:rPr>
          <w:bCs/>
          <w:noProof/>
        </w:rPr>
        <w:t>[</w:t>
      </w:r>
      <w:r w:rsidR="00566730" w:rsidRPr="00717F1F">
        <w:rPr>
          <w:bCs/>
          <w:noProof/>
        </w:rPr>
        <w:t>15</w:t>
      </w:r>
      <w:r w:rsidR="00697A07">
        <w:rPr>
          <w:bCs/>
          <w:noProof/>
        </w:rPr>
        <w:t>]</w:t>
      </w:r>
      <w:r w:rsidR="009D32D1">
        <w:rPr>
          <w:bCs/>
        </w:rPr>
        <w:fldChar w:fldCharType="end"/>
      </w:r>
      <w:r w:rsidR="00697A07">
        <w:rPr>
          <w:bCs/>
        </w:rPr>
        <w:t xml:space="preserve"> </w:t>
      </w:r>
    </w:p>
    <w:p w:rsidR="00F86427" w:rsidRDefault="00C83E84" w:rsidP="00C83E84">
      <w:pPr>
        <w:ind w:firstLine="720"/>
        <w:jc w:val="both"/>
        <w:rPr>
          <w:bCs/>
        </w:rPr>
      </w:pPr>
      <w:r w:rsidRPr="00C83E84">
        <w:rPr>
          <w:bCs/>
        </w:rPr>
        <w:t>This research is also reinforced by the opinion of Garibella which is said that patients with impaired muscle mass treated with 6 months of diving will experience a problem of intellectual function and effect on the nutritional status with P. &lt;</w:t>
      </w:r>
      <w:r w:rsidR="0034266E">
        <w:rPr>
          <w:bCs/>
        </w:rPr>
        <w:t xml:space="preserve"> 0.05 </w:t>
      </w:r>
      <w:r w:rsidR="009D32D1">
        <w:rPr>
          <w:bCs/>
        </w:rPr>
        <w:fldChar w:fldCharType="begin" w:fldLock="1"/>
      </w:r>
      <w:r w:rsidR="00717F1F">
        <w:rPr>
          <w:bCs/>
        </w:rPr>
        <w:instrText>ADDIN CSL_CITATION {"citationItems":[{"id":"ITEM-1","itemData":{"DOI":"10.1186/s40795-019-0330-7","PMID":"32190345","abstract":"Although low muscle mass is an important predictor of increased physical morbidity in older patients, information on its impact on mental health and well-being is lacking. The first aim of this report is to look for associations if any between low muscle mass and mental health of older people in clinical practice. The second aim is to study underlying mechanisms including nutritional status.","author":[{"dropping-particle":"","family":"Gariballa","given":"Shalah","non-dropping-particle":"","parse-names":false,"suffix":""},{"dropping-particle":"","family":"Awad","given":"Alessa","non-dropping-particle":"","parse-names":false,"suffix":""}],"container-title":"BMC Nutrition","id":"ITEM-1","issued":{"date-parts":[["2020"]]},"title":"\"Associations between low muscle mass, blood-borne nutritional status and mental health in older patients\"","type":"article-journal","volume":"6"},"uris":["http://www.mendeley.com/documents/?uuid=28516b4a-edc3-4710-afc3-0017440f2846"]}],"mendeley":{"formattedCitation":"(16)","plainTextFormattedCitation":"(16)","previouslyFormattedCitation":"(16)"},"properties":{"noteIndex":0},"schema":"https://github.com/citation-style-language/schema/raw/master/csl-citation.json"}</w:instrText>
      </w:r>
      <w:r w:rsidR="009D32D1">
        <w:rPr>
          <w:bCs/>
        </w:rPr>
        <w:fldChar w:fldCharType="separate"/>
      </w:r>
      <w:r w:rsidR="00566730" w:rsidRPr="00717F1F">
        <w:rPr>
          <w:bCs/>
          <w:noProof/>
        </w:rPr>
        <w:t>(16)</w:t>
      </w:r>
      <w:r w:rsidR="009D32D1">
        <w:rPr>
          <w:bCs/>
        </w:rPr>
        <w:fldChar w:fldCharType="end"/>
      </w:r>
      <w:r w:rsidRPr="00C83E84">
        <w:rPr>
          <w:bCs/>
        </w:rPr>
        <w:t>.</w:t>
      </w:r>
      <w:r>
        <w:rPr>
          <w:bCs/>
        </w:rPr>
        <w:t xml:space="preserve"> </w:t>
      </w:r>
      <w:r w:rsidR="0071553E" w:rsidRPr="0071553E">
        <w:rPr>
          <w:bCs/>
        </w:rPr>
        <w:t>It is also with the research of Gracia stating that the nutritional strategies for cognitive enhancing by noting existing dietary components, because with adequate nutritional needs needed to optimize brain function and p</w:t>
      </w:r>
      <w:r w:rsidR="0034266E">
        <w:rPr>
          <w:bCs/>
        </w:rPr>
        <w:t xml:space="preserve">revent cognitive decline </w:t>
      </w:r>
      <w:r w:rsidR="009D32D1">
        <w:rPr>
          <w:bCs/>
        </w:rPr>
        <w:fldChar w:fldCharType="begin" w:fldLock="1"/>
      </w:r>
      <w:r w:rsidR="00697A07">
        <w:rPr>
          <w:bCs/>
        </w:rPr>
        <w:instrText>ADDIN CSL_CITATION {"citationItems":[{"id":"ITEM-1","itemData":{"DOI":"10.20960/nh.2281","PMID":"30351155","abstract":"Cognitive capacity can be influenced by components of the diet. Low glycemic index foods seem to improve attention, memory and functional capacity, while those rich in simple sugars are associated with difficulty in concentration and attention. The brain needs a continuous supply of amino acids for the synthesis of neurotransmitters, especially serotonin and catecholamines. Low levels of serotonin have been linked to decreased learning, reasoning and memory. The quality and type of dietary fat can also affect intellectual and mental capacity. High saturated fat intake has been related to cognitive deterioration while the consumption of polyunsaturated fatty acids (docosahexaenoic acid) has beneficial effects in their prevention. It is advisable to consume diets with an adequate ratio (5:1) of omega-6: 3 fatty acids (Mediterranean diet) given that they are associated with better memory capacity and lower risk of cognitive deterioration. Vitamins B1, B6, B12, B9 (folic acid) and D, choline, iron and iodine exert neuroprotective effects and improve intellectual performance. In parallel, antioxidants (vitamins C, E, A, zinc, selenium, lutein and zeaxanthin) have a very important role in the defense against oxidative stress associated with mental deterioration and in the improvement of cognition. Currently, there is a high consumption of diets rich in saturated fats and refined sugars and low intake of fruits, vegetables and water that can negatively affect cognitive ability. Adequate nutrition is necessary to optimize brain function and prevent cognitive decline","author":[{"dropping-particle":"","family":"Gracia","given":"Martinez","non-dropping-particle":"","parse-names":false,"suffix":""},{"dropping-particle":"","family":"Ortega AL","given":"Jimenez","non-dropping-particle":"","parse-names":false,"suffix":""},{"dropping-particle":"","family":"Sobaler","given":"Lopes","non-dropping-particle":"","parse-names":false,"suffix":""}],"container-title":"Nutriti Hospital","id":"ITEM-1","issued":{"date-parts":[["2018"]]},"page":"16-19","title":"\"Nutrition strategies that improve cognitive function\"","type":"article-journal","volume":"35"},"uris":["http://www.mendeley.com/documents/?uuid=ab981b8c-9e47-470a-a201-3c6764aed5f4"]}],"mendeley":{"formattedCitation":"(17)","manualFormatting":"[17]","plainTextFormattedCitation":"(17)","previouslyFormattedCitation":"(17)"},"properties":{"noteIndex":0},"schema":"https://github.com/citation-style-language/schema/raw/master/csl-citation.json"}</w:instrText>
      </w:r>
      <w:r w:rsidR="009D32D1">
        <w:rPr>
          <w:bCs/>
        </w:rPr>
        <w:fldChar w:fldCharType="separate"/>
      </w:r>
      <w:r w:rsidR="00697A07">
        <w:rPr>
          <w:bCs/>
          <w:noProof/>
        </w:rPr>
        <w:t>[</w:t>
      </w:r>
      <w:r w:rsidR="00566730" w:rsidRPr="00717F1F">
        <w:rPr>
          <w:bCs/>
          <w:noProof/>
        </w:rPr>
        <w:t>17</w:t>
      </w:r>
      <w:r w:rsidR="00697A07">
        <w:rPr>
          <w:bCs/>
          <w:noProof/>
        </w:rPr>
        <w:t>]</w:t>
      </w:r>
      <w:r w:rsidR="009D32D1">
        <w:rPr>
          <w:bCs/>
        </w:rPr>
        <w:fldChar w:fldCharType="end"/>
      </w:r>
      <w:r w:rsidR="00697A07">
        <w:rPr>
          <w:bCs/>
        </w:rPr>
        <w:t xml:space="preserve"> </w:t>
      </w:r>
    </w:p>
    <w:p w:rsidR="00F86427" w:rsidRDefault="00C83E84" w:rsidP="0030589C">
      <w:pPr>
        <w:ind w:firstLine="720"/>
        <w:jc w:val="both"/>
        <w:rPr>
          <w:bCs/>
        </w:rPr>
      </w:pPr>
      <w:r w:rsidRPr="00C83E84">
        <w:rPr>
          <w:bCs/>
        </w:rPr>
        <w:t>Wang identified three trajectory of nutritional status: malnutrition (15.4%), at risk for nutritional deficiencies (38.9%), and nutrition (45.7%). In contrast, mental changes followed four linear trajectories but differed: moderately disturbed (12.2%), somewhat disturbed (27.8%), impaired boundary (21.8%), and mentally intact (38.2%). Nutritional Status is significantly indifferent to mental functions, for example, relative to malnourished patients, patients who have nutrients well 95% less likely (or = 0.05, CI = 0.01-0.24) to experience a fairly men</w:t>
      </w:r>
      <w:r w:rsidR="00BE571A">
        <w:rPr>
          <w:bCs/>
        </w:rPr>
        <w:t xml:space="preserve">tal disorder </w:t>
      </w:r>
      <w:r w:rsidR="009D32D1">
        <w:rPr>
          <w:bCs/>
        </w:rPr>
        <w:fldChar w:fldCharType="begin" w:fldLock="1"/>
      </w:r>
      <w:r w:rsidR="00697A07">
        <w:rPr>
          <w:bCs/>
        </w:rPr>
        <w:instrText>ADDIN CSL_CITATION {"citationItems":[{"id":"ITEM-1","itemData":{"DOI":"10.1186/s12889-020-8305-9","ISSN":"14712458","abstract":"Background: The Chinese government is piloting canteen services for older adults, but few studies have explored the influence of canteen services on the health of these older adults. This study aimed to investigate the impact of canteen services on older adults' general mental health, nutritional status, satisfaction with life, and social capital in rural areas. Methods: This study used a cross-sectional design. We selected 14 villages in Jinhua City, Zhejiang Province, China, including seven villages with canteen services and seven villages without canteen services. Participants were 284 senior older adults (aged 75~98), including 140 residing in villages with canteen services (Canteen Group [CG]) and 144 residing in villages without canteen services (Non-Canteen Group [NCG]). We also divided the CG into two sub-groups according to the funding sources (one receiving government support only, the other receiving government support plus enterprise donations). We used a self-designed questionnaire, including sociodemographics, diet-related items (e.g., satisfaction with the meals, diet expenditure, self-evaluation of meal nutrition), and the four scales including the Chinese version of the 12-item General Health Questionnaire (GHQ-12), the Chinese version of the Mini Nutritional Assessment Short-Form (MNA-SF), the Satisfaction with Life Scale (SWLS), and the Social Capital Questionnaire (SCQ). Results: The overall mental health, satisfaction with life, and social capital of the CG were better than the NCG (P &lt; 0.05). The nutritional status of these two groups did not show a significant difference. Participants in the CG with financial support from local government and donations from an enterprise with a better dietary diversity exhibited a better nutritional status (P &lt; 0.05); the average satisfaction with diet and self-evaluation of food nutrition of the CG were higher than the NCG (P &lt; 0.05); the ratio of having a diet on time in the CG was higher than that of the NCG (P &lt; 0.05). Conclusion: The free canteen services provided by the government can improve older adults' satisfaction with life and diet, and mental health status and also enrich their social capital, but this still needs to be future evidenced. More financial support for canteen services is an essential component in promoting successful aging in China.","author":[{"dropping-particle":"","family":"Wang","given":"Xiaolei","non-dropping-particle":"","parse-names":false,"suffix":""},{"dropping-particle":"","family":"Liu","given":"Minhui","non-dropping-particle":"","parse-names":false,"suffix":""},{"dropping-particle":"","family":"Li","given":"Yuchen","non-dropping-particle":"","parse-names":false,"suffix":""},{"dropping-particle":"","family":"Guo","given":"Chanyuan","non-dropping-particle":"","parse-names":false,"suffix":""},{"dropping-particle":"","family":"Yeh","given":"Chao Hsing","non-dropping-particle":"","parse-names":false,"suffix":""}],"container-title":"BMC Public Health","id":"ITEM-1","issue":"1","issued":{"date-parts":[["2020"]]},"page":"1-9","title":"\"Community canteen services for the rural elderly: determining impacts on general mental health, nutritional status, satisfaction with life, and social capital\"","type":"article-journal","volume":"20"},"uris":["http://www.mendeley.com/documents/?uuid=c93658fe-c9a4-4656-bddc-5f5e930ee27c"]}],"mendeley":{"formattedCitation":"(18)","manualFormatting":"[18]","plainTextFormattedCitation":"(18)","previouslyFormattedCitation":"(18)"},"properties":{"noteIndex":0},"schema":"https://github.com/citation-style-language/schema/raw/master/csl-citation.json"}</w:instrText>
      </w:r>
      <w:r w:rsidR="009D32D1">
        <w:rPr>
          <w:bCs/>
        </w:rPr>
        <w:fldChar w:fldCharType="separate"/>
      </w:r>
      <w:r w:rsidR="00697A07">
        <w:rPr>
          <w:bCs/>
          <w:noProof/>
        </w:rPr>
        <w:t>[</w:t>
      </w:r>
      <w:r w:rsidR="00566730" w:rsidRPr="003E7468">
        <w:rPr>
          <w:bCs/>
          <w:noProof/>
        </w:rPr>
        <w:t>18</w:t>
      </w:r>
      <w:r w:rsidR="00697A07">
        <w:rPr>
          <w:bCs/>
          <w:noProof/>
        </w:rPr>
        <w:t>]</w:t>
      </w:r>
      <w:r w:rsidR="009D32D1">
        <w:rPr>
          <w:bCs/>
        </w:rPr>
        <w:fldChar w:fldCharType="end"/>
      </w:r>
      <w:r w:rsidR="00697A07">
        <w:rPr>
          <w:bCs/>
        </w:rPr>
        <w:t xml:space="preserve"> </w:t>
      </w:r>
      <w:r w:rsidR="00123F0E">
        <w:rPr>
          <w:bCs/>
        </w:rPr>
        <w:t>.</w:t>
      </w:r>
    </w:p>
    <w:p w:rsidR="00045DE6" w:rsidRDefault="00045DE6" w:rsidP="00045DE6">
      <w:pPr>
        <w:ind w:firstLine="720"/>
        <w:jc w:val="both"/>
        <w:rPr>
          <w:bCs/>
        </w:rPr>
      </w:pPr>
      <w:r w:rsidRPr="00045DE6">
        <w:rPr>
          <w:bCs/>
        </w:rPr>
        <w:t>In table 1 The intellectual function showed most of the respondents suffered mild damage amounting to 34 people with a percentage of 48.57%. Mild cognitive impairment into clinical diagnosis based on the results of neurological examinations, screening of mental status screening, and secondary testing. Causes of mild cognitive impairment include degenerative and vascular processes, psychology, and disease factors requir</w:t>
      </w:r>
      <w:r w:rsidR="00BE571A">
        <w:rPr>
          <w:bCs/>
        </w:rPr>
        <w:t xml:space="preserve">ing long-term care  </w:t>
      </w:r>
      <w:r w:rsidR="009D32D1">
        <w:rPr>
          <w:bCs/>
        </w:rPr>
        <w:fldChar w:fldCharType="begin" w:fldLock="1"/>
      </w:r>
      <w:r w:rsidR="00697A07">
        <w:rPr>
          <w:bCs/>
        </w:rPr>
        <w:instrText>ADDIN CSL_CITATION {"citationItems":[{"id":"ITEM-1","itemData":{"DOI":"https://doi.org/10.1016/j.cger.2018.06.005","author":[{"dropping-particle":"","family":"Eric G","given":"Tangalos","non-dropping-particle":"","parse-names":false,"suffix":""},{"dropping-particle":"","family":"Ronald C","given":"Petersen","non-dropping-particle":"","parse-names":false,"suffix":""}],"container-title":"Clinics in Geriatrie Medicine","id":"ITEM-1","issue":"4","issued":{"date-parts":[["2018"]]},"page":"563-589","title":"\"Mild cognitive impairment in geriatrics\"","type":"article-journal","volume":"34"},"uris":["http://www.mendeley.com/documents/?uuid=a6b70df0-1a3f-4b97-9036-652107d6123d"]}],"mendeley":{"formattedCitation":"(19)","manualFormatting":"[19]","plainTextFormattedCitation":"(19)","previouslyFormattedCitation":"(19)"},"properties":{"noteIndex":0},"schema":"https://github.com/citation-style-language/schema/raw/master/csl-citation.json"}</w:instrText>
      </w:r>
      <w:r w:rsidR="009D32D1">
        <w:rPr>
          <w:bCs/>
        </w:rPr>
        <w:fldChar w:fldCharType="separate"/>
      </w:r>
      <w:r w:rsidR="00697A07">
        <w:rPr>
          <w:bCs/>
          <w:noProof/>
        </w:rPr>
        <w:t>[</w:t>
      </w:r>
      <w:r w:rsidR="00566730" w:rsidRPr="003E7468">
        <w:rPr>
          <w:bCs/>
          <w:noProof/>
        </w:rPr>
        <w:t>19</w:t>
      </w:r>
      <w:r w:rsidR="00697A07">
        <w:rPr>
          <w:bCs/>
          <w:noProof/>
        </w:rPr>
        <w:t>]</w:t>
      </w:r>
      <w:r w:rsidR="009D32D1">
        <w:rPr>
          <w:bCs/>
        </w:rPr>
        <w:fldChar w:fldCharType="end"/>
      </w:r>
      <w:r w:rsidR="00697A07">
        <w:rPr>
          <w:bCs/>
        </w:rPr>
        <w:t xml:space="preserve"> </w:t>
      </w:r>
      <w:r w:rsidR="00123F0E">
        <w:rPr>
          <w:bCs/>
        </w:rPr>
        <w:t>.</w:t>
      </w:r>
    </w:p>
    <w:p w:rsidR="00C83E84" w:rsidRDefault="00C83E84" w:rsidP="0030589C">
      <w:pPr>
        <w:ind w:firstLine="720"/>
        <w:jc w:val="both"/>
        <w:rPr>
          <w:bCs/>
        </w:rPr>
      </w:pPr>
      <w:r w:rsidRPr="00C83E84">
        <w:rPr>
          <w:bCs/>
        </w:rPr>
        <w:t>Unlike the researc</w:t>
      </w:r>
      <w:r w:rsidR="00BE571A">
        <w:rPr>
          <w:bCs/>
        </w:rPr>
        <w:t>h conducted by Dema</w:t>
      </w:r>
      <w:r w:rsidRPr="00C83E84">
        <w:rPr>
          <w:bCs/>
        </w:rPr>
        <w:t xml:space="preserve"> This research indicates there is no relationship between the IMT and mental function (P = 0,217). Not found a meaningful relationship to this research is caused, in the BMI measurement there is a possibility of less yield accuracy, because one of the physiological that occurs in the elderly is the depreciation of the Invertebralis discs that causes a high dec</w:t>
      </w:r>
      <w:r w:rsidR="00123F0E">
        <w:rPr>
          <w:bCs/>
        </w:rPr>
        <w:t>rease in body</w:t>
      </w:r>
      <w:r w:rsidR="00BE571A">
        <w:rPr>
          <w:bCs/>
        </w:rPr>
        <w:t xml:space="preserve"> </w:t>
      </w:r>
      <w:r w:rsidR="009D32D1">
        <w:rPr>
          <w:bCs/>
        </w:rPr>
        <w:fldChar w:fldCharType="begin" w:fldLock="1"/>
      </w:r>
      <w:r w:rsidR="00697A07">
        <w:rPr>
          <w:bCs/>
        </w:rPr>
        <w:instrText>ADDIN CSL_CITATION {"citationItems":[{"id":"ITEM-1","itemData":{"author":[{"dropping-particle":"","family":"Wahid","given":"Billy","non-dropping-particle":"","parse-names":false,"suffix":""},{"dropping-particle":"","family":"Sudarma","given":"Verawati","non-dropping-particle":"","parse-names":false,"suffix":""}],"container-title":"Tri Jurnal Tri Sakti","id":"ITEM-1","issue":"1","issued":{"date-parts":[["2018"]]},"page":"331-337","title":"\"Relationship of nutritional status and decreased cognitive function in elderly\"","type":"article-journal"},"uris":["http://www.mendeley.com/documents/?uuid=3d946eba-59e2-4419-b2d6-882f38056bee"]}],"mendeley":{"formattedCitation":"(20)","manualFormatting":"[20]","plainTextFormattedCitation":"(20)","previouslyFormattedCitation":"(20)"},"properties":{"noteIndex":0},"schema":"https://github.com/citation-style-language/schema/raw/master/csl-citation.json"}</w:instrText>
      </w:r>
      <w:r w:rsidR="009D32D1">
        <w:rPr>
          <w:bCs/>
        </w:rPr>
        <w:fldChar w:fldCharType="separate"/>
      </w:r>
      <w:r w:rsidR="00697A07">
        <w:rPr>
          <w:bCs/>
          <w:noProof/>
        </w:rPr>
        <w:t>[</w:t>
      </w:r>
      <w:r w:rsidR="00566730" w:rsidRPr="003E7468">
        <w:rPr>
          <w:bCs/>
          <w:noProof/>
        </w:rPr>
        <w:t>20</w:t>
      </w:r>
      <w:r w:rsidR="00697A07">
        <w:rPr>
          <w:bCs/>
          <w:noProof/>
        </w:rPr>
        <w:t>]</w:t>
      </w:r>
      <w:r w:rsidR="009D32D1">
        <w:rPr>
          <w:bCs/>
        </w:rPr>
        <w:fldChar w:fldCharType="end"/>
      </w:r>
      <w:r w:rsidR="00697A07">
        <w:rPr>
          <w:bCs/>
        </w:rPr>
        <w:t xml:space="preserve"> </w:t>
      </w:r>
      <w:r w:rsidR="00123F0E">
        <w:rPr>
          <w:bCs/>
        </w:rPr>
        <w:t>.</w:t>
      </w:r>
    </w:p>
    <w:p w:rsidR="00FB4EB1" w:rsidRDefault="00FB4EB1" w:rsidP="0030589C">
      <w:pPr>
        <w:ind w:firstLine="720"/>
        <w:jc w:val="both"/>
        <w:rPr>
          <w:bCs/>
        </w:rPr>
      </w:pPr>
    </w:p>
    <w:p w:rsidR="00F86427" w:rsidRDefault="005D19AF" w:rsidP="00FB4EB1">
      <w:pPr>
        <w:jc w:val="both"/>
        <w:rPr>
          <w:b/>
          <w:bCs/>
        </w:rPr>
      </w:pPr>
      <w:r>
        <w:rPr>
          <w:b/>
          <w:bCs/>
        </w:rPr>
        <w:t>3.5.</w:t>
      </w:r>
      <w:r w:rsidR="00FB4EB1" w:rsidRPr="00FB4EB1">
        <w:rPr>
          <w:b/>
          <w:bCs/>
        </w:rPr>
        <w:t xml:space="preserve"> Contributions to elderly nutritional status</w:t>
      </w:r>
    </w:p>
    <w:p w:rsidR="00FB4EB1" w:rsidRDefault="00FB4EB1" w:rsidP="00FB4EB1">
      <w:pPr>
        <w:ind w:firstLine="720"/>
        <w:jc w:val="both"/>
        <w:rPr>
          <w:bCs/>
        </w:rPr>
      </w:pPr>
      <w:r w:rsidRPr="00FB4EB1">
        <w:rPr>
          <w:bCs/>
        </w:rPr>
        <w:t>In table 3. The contribution of activity directly affects the nutritional status of 0.8412 = 0.707 or 70.7% of physical activity for the elderly should be adjusted to the conditions and physical abilities of each. WHO advocates that every elderly is expected to meet the physical needs of another 150 minutes of moderate-intensity physical activity or 75 minutes of heavy-intensity physical activity during the week. Every physical activity, make sure the duration lasts for at least 10 minutes if you are familiar with the minimum recommendation, get used to moderate physical activity for 300 minutes or heavy physical activity for 150 minutes a week. Elderly who have a problem of body coordination should do a balance exercise at least 3 times a week muscle exercises should be do</w:t>
      </w:r>
      <w:r w:rsidR="00BE571A">
        <w:rPr>
          <w:bCs/>
        </w:rPr>
        <w:t xml:space="preserve">ne at least 2 times a week </w:t>
      </w:r>
      <w:r w:rsidR="009D32D1">
        <w:rPr>
          <w:bCs/>
        </w:rPr>
        <w:fldChar w:fldCharType="begin" w:fldLock="1"/>
      </w:r>
      <w:r w:rsidR="00697A07">
        <w:rPr>
          <w:bCs/>
        </w:rPr>
        <w:instrText>ADDIN CSL_CITATION {"citationItems":[{"id":"ITEM-1","itemData":{"ISBN":"92 4 156210 2","abstract":"The main body of this report discusses the epidemiological and social aspects of ageing, health and functional changes experienced with ageing, the impact of physical activity, assessment of the nutritional status of older persons, and nutritional guidelines for healthy ageing. Additional material covers food-based dietary guidelines for older adults —with particular emphasis on healthy ageing and prevention of chronic noncommunicable diseases—and guidelines for promoting physical activity among older persons.","author":[{"dropping-particle":"","family":"World Health Organization","given":"","non-dropping-particle":"","parse-names":false,"suffix":""},{"dropping-particle":"","family":"Tufts University School of Nutrition and Policy","given":"","non-dropping-particle":"","parse-names":false,"suffix":""}],"id":"ITEM-1","issued":{"date-parts":[["2002"]]},"page":"1-83","title":"\"Keep fit for life: Meeting the nutritional needs of older persons\"","type":"article-journal"},"uris":["http://www.mendeley.com/documents/?uuid=535ab13f-73e2-4bd0-acbc-926330f7f3bf"]}],"mendeley":{"formattedCitation":"(12)","manualFormatting":"[12]","plainTextFormattedCitation":"(12)","previouslyFormattedCitation":"(12)"},"properties":{"noteIndex":0},"schema":"https://github.com/citation-style-language/schema/raw/master/csl-citation.json"}</w:instrText>
      </w:r>
      <w:r w:rsidR="009D32D1">
        <w:rPr>
          <w:bCs/>
        </w:rPr>
        <w:fldChar w:fldCharType="separate"/>
      </w:r>
      <w:r w:rsidR="00697A07">
        <w:rPr>
          <w:bCs/>
          <w:noProof/>
        </w:rPr>
        <w:t>[</w:t>
      </w:r>
      <w:r w:rsidR="00566730" w:rsidRPr="003E7468">
        <w:rPr>
          <w:bCs/>
          <w:noProof/>
        </w:rPr>
        <w:t>12</w:t>
      </w:r>
      <w:r w:rsidR="00697A07">
        <w:rPr>
          <w:bCs/>
          <w:noProof/>
        </w:rPr>
        <w:t>]</w:t>
      </w:r>
      <w:r w:rsidR="009D32D1">
        <w:rPr>
          <w:bCs/>
        </w:rPr>
        <w:fldChar w:fldCharType="end"/>
      </w:r>
      <w:r w:rsidR="00697A07">
        <w:rPr>
          <w:bCs/>
        </w:rPr>
        <w:t xml:space="preserve"> </w:t>
      </w:r>
      <w:r w:rsidR="00123F0E">
        <w:rPr>
          <w:bCs/>
        </w:rPr>
        <w:t>.</w:t>
      </w:r>
    </w:p>
    <w:p w:rsidR="00FB4EB1" w:rsidRDefault="00FB4EB1" w:rsidP="00FB4EB1">
      <w:pPr>
        <w:ind w:firstLine="720"/>
        <w:jc w:val="both"/>
        <w:rPr>
          <w:bCs/>
        </w:rPr>
      </w:pPr>
    </w:p>
    <w:p w:rsidR="00FB4EB1" w:rsidRPr="00FB4EB1" w:rsidRDefault="005D19AF" w:rsidP="00FB4EB1">
      <w:pPr>
        <w:jc w:val="both"/>
        <w:rPr>
          <w:b/>
          <w:bCs/>
        </w:rPr>
      </w:pPr>
      <w:r>
        <w:rPr>
          <w:b/>
          <w:bCs/>
        </w:rPr>
        <w:t>3.6.</w:t>
      </w:r>
      <w:r w:rsidR="00FB4EB1" w:rsidRPr="00FB4EB1">
        <w:rPr>
          <w:b/>
          <w:bCs/>
        </w:rPr>
        <w:t xml:space="preserve"> Age contributions, intellectual function and activity to elderly nutritional status</w:t>
      </w:r>
    </w:p>
    <w:p w:rsidR="00FB4EB1" w:rsidRPr="00FB4EB1" w:rsidRDefault="00FB4EB1" w:rsidP="00FB4EB1">
      <w:pPr>
        <w:ind w:firstLine="720"/>
        <w:jc w:val="both"/>
        <w:rPr>
          <w:bCs/>
        </w:rPr>
      </w:pPr>
      <w:r w:rsidRPr="00FB4EB1">
        <w:rPr>
          <w:bCs/>
        </w:rPr>
        <w:t>The contribution of age, intellectual function and activity simultaneously directly affects the nutritional status of R2square = 0.821 = 0.674 or 67% while the remaining 33% are contributions from other variables not included in this study</w:t>
      </w:r>
    </w:p>
    <w:p w:rsidR="00DD5984" w:rsidRDefault="00C27AD3" w:rsidP="0030589C">
      <w:pPr>
        <w:ind w:firstLine="720"/>
        <w:jc w:val="both"/>
        <w:rPr>
          <w:bCs/>
        </w:rPr>
      </w:pPr>
      <w:r w:rsidRPr="00C27AD3">
        <w:rPr>
          <w:bCs/>
        </w:rPr>
        <w:t>The elderly who have a high level of self-reliance are the elderly who are physically well-primed, the high level of elderly self-reliance has been accustomed to completing the work in the household related to fulfillment. The results are in line with Alfianita's research that states the relationship of self-reliance and nutritional status, obtained the value of P is 0.015 (p &lt; 0.05) means there is a meaningful relationship between the level of independence in condu</w:t>
      </w:r>
      <w:r>
        <w:rPr>
          <w:bCs/>
        </w:rPr>
        <w:t>cting daily life activities (ADL</w:t>
      </w:r>
      <w:r w:rsidRPr="00C27AD3">
        <w:rPr>
          <w:bCs/>
        </w:rPr>
        <w:t>) with the status of elderly nutritio</w:t>
      </w:r>
      <w:r w:rsidR="001A134B">
        <w:rPr>
          <w:bCs/>
        </w:rPr>
        <w:t>n d</w:t>
      </w:r>
      <w:r w:rsidR="00BE571A">
        <w:rPr>
          <w:bCs/>
        </w:rPr>
        <w:t xml:space="preserve">aily necessities </w:t>
      </w:r>
      <w:r w:rsidR="009D32D1">
        <w:rPr>
          <w:bCs/>
        </w:rPr>
        <w:fldChar w:fldCharType="begin" w:fldLock="1"/>
      </w:r>
      <w:r w:rsidR="00697A07">
        <w:rPr>
          <w:bCs/>
        </w:rPr>
        <w:instrText>ADDIN CSL_CITATION {"citationItems":[{"id":"ITEM-1","itemData":{"DOI":"10.25077/jka.v5i1.469","ISSN":"2301-7406","abstract":"AbstrakPeningkatan Usia Harapan Hidup (UHH) penduduk Indonesia mengakibatkan peningkatan populasi usia lanjut (usila). Peningkatan usila berdampak terutama pada peningkatan angka ketergantungan dalam melakukan Aktivitas Kehidupan Sehari-hari (AKS). Penurunan tingkat kemandirian dalam melakukan AKS adalah salah satu faktor yang mempengaruhi status gizi usila. Tujuan penelitian ini adalah untuk menentukan hubungan tingkat kemandirian dalam melakukan AKS dan status gizi usia lanjut. Penelitian ini merupakan penelitian analitik observasional dengan rancangan cross-sectional study dan menggunakan kuisioner ADL Barthel dan Mini Nutritional Assessment (MNA) sebagai instrumen. Sebanyak 66 sampel diambil dari seluruh penghuni Panti Sosial Tresna Werdha Sabai Nan Aluih Sicincin yang memenuhi kriteria inklusi. Data berupa hasil tingkat kemandirian dan status gizi dianalisis menggunakan uji chi-square, dengan derajat kepercayaan 95%. Dari 66 subjek penelitian terdapat 36 usila (54,5%) tidak mandiri dalam melakukan AKS dan 39 usila (59,1%) memiliki status gizi berisiko malnutrisi. Uji chi-square menunjukkan nilai p adalah 0,015 (p&lt;0,05). Kesimpulan penelitian adalah terdapat hubungan yang bermakna antara tingkat kemandirian dalam melakukan AKS dan status gizi pada usia lanjut di Panti Sosial Tresna Werdha Sabai Nan Aluih Sicincin.Kata kunci: tingkat kemandirian, aktivitas kehidupan sehari-hari, status gizi, usia lanjut AbstractThe increasing of life expectancy at Indonesia's population may lead to an increase in the elderly population. The main impact of this condition is the increasing of elderly dependency in performing Activity of Daily Living (ADL). Decreased level of independence in performing ADL is one of the factors that affect the nutritional status of elderly. The objective of this study was to determine the relationship between the level of independence in performing ADL and nutritional status of elderly.This research was an observational analytical study which designed as cross-sectional study. The instruments of this research were Barthel ADL and Mini Nutritional Assessment (MNA). 66 samples were taken from all the inhabitants of Panti Sosial Tresna Werdha Sabai Nan Aluih Sicincin who fulfill the inclusion criteria. The results of the level of independence and nutritional status were analyzed using chi-square test, with a degree of confidence of 95%. Of the 66 subjects there were 36 elderly (54.5%) not independent in performing ADL and 39 elderly (59.1%…","author":[{"dropping-particle":"","family":"Alfyanita","given":"Afifah","non-dropping-particle":"","parse-names":false,"suffix":""},{"dropping-particle":"","family":"Dinda Martini","given":"Rose","non-dropping-particle":"","parse-names":false,"suffix":""},{"dropping-particle":"","family":"Kadri","given":"Husnil","non-dropping-particle":"","parse-names":false,"suffix":""}],"container-title":"Jurnal Kesehatan Andalas","id":"ITEM-1","issue":"1","issued":{"date-parts":[["2016"]]},"page":"201-208","title":"\"Relationship of self-reliance in conducting daily life activities and nutritional status at the elderly in the social orphanage Tresna Werdha Sabai Nan Aluih Sicincin\"","type":"article-journal","volume":"5"},"uris":["http://www.mendeley.com/documents/?uuid=40e52bdc-7b6e-4e05-aa0b-ba45e849b783"]}],"mendeley":{"formattedCitation":"(21)","manualFormatting":"[21]","plainTextFormattedCitation":"(21)","previouslyFormattedCitation":"(21)"},"properties":{"noteIndex":0},"schema":"https://github.com/citation-style-language/schema/raw/master/csl-citation.json"}</w:instrText>
      </w:r>
      <w:r w:rsidR="009D32D1">
        <w:rPr>
          <w:bCs/>
        </w:rPr>
        <w:fldChar w:fldCharType="separate"/>
      </w:r>
      <w:r w:rsidR="00697A07">
        <w:rPr>
          <w:bCs/>
          <w:noProof/>
        </w:rPr>
        <w:t>[</w:t>
      </w:r>
      <w:r w:rsidR="00566730" w:rsidRPr="00A50401">
        <w:rPr>
          <w:bCs/>
          <w:noProof/>
        </w:rPr>
        <w:t>21</w:t>
      </w:r>
      <w:r w:rsidR="00697A07">
        <w:rPr>
          <w:bCs/>
          <w:noProof/>
        </w:rPr>
        <w:t>]</w:t>
      </w:r>
      <w:r w:rsidR="009D32D1">
        <w:rPr>
          <w:bCs/>
        </w:rPr>
        <w:fldChar w:fldCharType="end"/>
      </w:r>
      <w:r w:rsidR="00697A07" w:rsidRPr="00C27AD3">
        <w:rPr>
          <w:bCs/>
        </w:rPr>
        <w:t xml:space="preserve"> </w:t>
      </w:r>
      <w:r w:rsidRPr="00C27AD3">
        <w:rPr>
          <w:bCs/>
        </w:rPr>
        <w:t>. The level of self-reliance in conducting daily li</w:t>
      </w:r>
      <w:r>
        <w:rPr>
          <w:bCs/>
        </w:rPr>
        <w:t>fe activities (ADL</w:t>
      </w:r>
      <w:r w:rsidRPr="00C27AD3">
        <w:rPr>
          <w:bCs/>
        </w:rPr>
        <w:t>) is one of the factors affecting the status of advanced nutrition, both dependence on eating (bribing food and preparing food) and dependence in mobility. Dependence on the elderly both family and care officers is one of the risk factors of nutritional disorders</w:t>
      </w:r>
      <w:r w:rsidR="001A134B">
        <w:rPr>
          <w:bCs/>
        </w:rPr>
        <w:t xml:space="preserve"> in the elderly </w:t>
      </w:r>
      <w:r w:rsidR="009D32D1">
        <w:rPr>
          <w:bCs/>
        </w:rPr>
        <w:fldChar w:fldCharType="begin" w:fldLock="1"/>
      </w:r>
      <w:r w:rsidR="00697A07">
        <w:rPr>
          <w:bCs/>
        </w:rPr>
        <w:instrText>ADDIN CSL_CITATION {"citationItems":[{"id":"ITEM-1","itemData":{"author":[{"dropping-particle":"","family":"Indonesia","given":"Perhimunan Gerontologi Medik","non-dropping-particle":"","parse-names":false,"suffix":""}],"edition":"1","id":"ITEM-1","issued":{"date-parts":[["2012"]]},"publisher":"Pengurus Besar PREGEMI","publisher-place":"Jakarta","title":"\"Nutrition management consensus in elderly people\"","type":"book"},"uris":["http://www.mendeley.com/documents/?uuid=1a84734c-33c4-43f4-a100-a210388b8a61"]}],"mendeley":{"formattedCitation":"(22)","manualFormatting":"[22]","plainTextFormattedCitation":"(22)","previouslyFormattedCitation":"(22)"},"properties":{"noteIndex":0},"schema":"https://github.com/citation-style-language/schema/raw/master/csl-citation.json"}</w:instrText>
      </w:r>
      <w:r w:rsidR="009D32D1">
        <w:rPr>
          <w:bCs/>
        </w:rPr>
        <w:fldChar w:fldCharType="separate"/>
      </w:r>
      <w:r w:rsidR="00697A07">
        <w:rPr>
          <w:bCs/>
          <w:noProof/>
        </w:rPr>
        <w:t>[</w:t>
      </w:r>
      <w:r w:rsidR="00566730" w:rsidRPr="001E3080">
        <w:rPr>
          <w:bCs/>
          <w:noProof/>
        </w:rPr>
        <w:t>22</w:t>
      </w:r>
      <w:r w:rsidR="00697A07">
        <w:rPr>
          <w:bCs/>
          <w:noProof/>
        </w:rPr>
        <w:t>]</w:t>
      </w:r>
      <w:r w:rsidR="009D32D1">
        <w:rPr>
          <w:bCs/>
        </w:rPr>
        <w:fldChar w:fldCharType="end"/>
      </w:r>
      <w:r w:rsidR="00697A07">
        <w:rPr>
          <w:bCs/>
        </w:rPr>
        <w:t xml:space="preserve"> </w:t>
      </w:r>
      <w:r w:rsidR="001A134B">
        <w:rPr>
          <w:bCs/>
        </w:rPr>
        <w:t>.</w:t>
      </w:r>
    </w:p>
    <w:p w:rsidR="00C27AD3" w:rsidRDefault="00C27AD3" w:rsidP="0030589C">
      <w:pPr>
        <w:ind w:firstLine="720"/>
        <w:jc w:val="both"/>
        <w:rPr>
          <w:bCs/>
        </w:rPr>
      </w:pPr>
      <w:r w:rsidRPr="00C27AD3">
        <w:rPr>
          <w:bCs/>
        </w:rPr>
        <w:t>The results were the same as the results of the research conducted by the electricity which stated that the hypothesis proved to have a significant relationship between nutritional status with the ability level of Activity of Daily Living (ADL) at the elderly in Paremono Hamlet, Magelang, year 2010 (τ = 0.561; pva</w:t>
      </w:r>
      <w:r w:rsidR="001A134B">
        <w:rPr>
          <w:bCs/>
        </w:rPr>
        <w:t xml:space="preserve">lue = 0.01) </w:t>
      </w:r>
      <w:r w:rsidR="009D32D1">
        <w:rPr>
          <w:bCs/>
        </w:rPr>
        <w:fldChar w:fldCharType="begin" w:fldLock="1"/>
      </w:r>
      <w:r w:rsidR="00697A07">
        <w:rPr>
          <w:bCs/>
        </w:rPr>
        <w:instrText>ADDIN CSL_CITATION {"citationItems":[{"id":"ITEM-1","itemData":{"abstract":"ABSTRACT Background: the elderly need nutrition to sustain their health and to delay the deterioration of degenerative disease. Consuming balance nutrition for the elderly can keep their nutrition status, and having better nutrition status, the elderly are expected to possess the capability to conduct activity of daily living (ADL) indepedently. The deterioration of the functions of body organs can cause the elderly to face difficulties to carry out their activities of daily living so that they become dependent to do their daily activities. The purpose of the study: to know whether there is a relationship between the elderly’s nutrition status and their ability level to do activity of daily living (ADL) in Paremono Village, Magelang Regency. The methodology of the study: This study is designed as descriptive correlation study using cross sectional approach. The sampling technique is purposive sampling. To collect the data to find out the nutrition status of the elderly, the researchers used antropometric methods with formula of Body Mass Index (BMI), meanwhile to gather the data on the ability level of ADL, the researchers employ Barthell index. The subjects of this study are the elderly who live in Paremono Village, Magelang Regency. The data are analyzed using Kendal-Tau bi variant correlation. The findings: measuring their BMI, most of the elderly are in normal nutritional condition. The questionnaire results based on Barthell Index showe that the abilities to do ADL of the elderly are mostly in the category of full independent. Statistical testing Kendal Tau (τ) indicates that the value τ = 0.561; p = 0.01, significance level (p) less than 0.05 (0.01 &lt;0.05). therefore, the researchers conclude that there is a significant correlation between nutrition status and the elderly’s ability level to do activity of daily living in Paremono Village, Magelang Regency. Suggestions: the elderly’s health problems do not only belongs to the governments, but the societies are also expected to be more proactive and care towards the eldewrly, for instance, by entablishing a integrated service centers for the elderly that are independently founded by the societies in the order that the health of the elderly can be monitored better by the health institutions.","author":[{"dropping-particle":"","family":"Listriana","given":"Nunik","non-dropping-particle":"","parse-names":false,"suffix":""}],"id":"ITEM-1","issued":{"date-parts":[["2010"]]},"publisher":"STIKES 'Aisyyah Jogjakarta","publisher-place":"Yogyakarta","title":"\"Relationship of nutritional status with the ability level of activity of daily living (ADL) in the elderly in Paremono Hamlet, Magelang Regency\"","type":"thesis"},"uris":["http://www.mendeley.com/documents/?uuid=007e3a21-bbad-4e87-bbff-b0afd3f7ee83"]}],"mendeley":{"formattedCitation":"(23)","manualFormatting":"[23]","plainTextFormattedCitation":"(23)","previouslyFormattedCitation":"(23)"},"properties":{"noteIndex":0},"schema":"https://github.com/citation-style-language/schema/raw/master/csl-citation.json"}</w:instrText>
      </w:r>
      <w:r w:rsidR="009D32D1">
        <w:rPr>
          <w:bCs/>
        </w:rPr>
        <w:fldChar w:fldCharType="separate"/>
      </w:r>
      <w:r w:rsidR="00697A07">
        <w:rPr>
          <w:bCs/>
          <w:noProof/>
        </w:rPr>
        <w:t>[</w:t>
      </w:r>
      <w:r w:rsidR="00566730" w:rsidRPr="001E3080">
        <w:rPr>
          <w:bCs/>
          <w:noProof/>
        </w:rPr>
        <w:t>23</w:t>
      </w:r>
      <w:r w:rsidR="00697A07">
        <w:rPr>
          <w:bCs/>
          <w:noProof/>
        </w:rPr>
        <w:t>]</w:t>
      </w:r>
      <w:r w:rsidR="009D32D1">
        <w:rPr>
          <w:bCs/>
        </w:rPr>
        <w:fldChar w:fldCharType="end"/>
      </w:r>
      <w:r w:rsidR="00697A07">
        <w:rPr>
          <w:bCs/>
        </w:rPr>
        <w:t xml:space="preserve"> </w:t>
      </w:r>
    </w:p>
    <w:p w:rsidR="00C27AD3" w:rsidRDefault="00C27AD3" w:rsidP="0030589C">
      <w:pPr>
        <w:ind w:firstLine="720"/>
        <w:jc w:val="both"/>
        <w:rPr>
          <w:bCs/>
        </w:rPr>
      </w:pPr>
      <w:r w:rsidRPr="00C27AD3">
        <w:rPr>
          <w:bCs/>
        </w:rPr>
        <w:t>Changes in advanced body composition such as: increased body fat, decreased Lean Body Mass (LBM) and decreased bone mass will increase the risk of disease in the elderly (multipathology). Socio-economic changes that occur in the elderly will also affect the number of elderly dependence on productive age. Both of the above will affect the access to food and the level of intake that depends on the individual treating the usila. This will later affect the nutritional statu</w:t>
      </w:r>
      <w:r w:rsidR="00A50FC7">
        <w:rPr>
          <w:bCs/>
        </w:rPr>
        <w:t>s of the elderly</w:t>
      </w:r>
      <w:r w:rsidR="001A134B">
        <w:rPr>
          <w:bCs/>
        </w:rPr>
        <w:t xml:space="preserve">  </w:t>
      </w:r>
      <w:r w:rsidR="009D32D1">
        <w:rPr>
          <w:bCs/>
        </w:rPr>
        <w:fldChar w:fldCharType="begin" w:fldLock="1"/>
      </w:r>
      <w:r w:rsidR="00697A07">
        <w:rPr>
          <w:bCs/>
        </w:rPr>
        <w:instrText>ADDIN CSL_CITATION {"citationItems":[{"id":"ITEM-1","itemData":{"ISSN":"12797707","abstract":"Older adults are a potentially vulnerable group for malnutrition. This cross-sectional pilot study aims to assess the nutritional status of elderly patients living at home and receiving home health care services. The data were collected from patient care plans, the Mini Nutritional Assessment (MNA), and a questionnaire on eating problems. In addition, serum nutritional status indicators were measured, and an oral examination including quantitative saliva measurement was carried out. Out of 71 eligible patients 51 (72%) patients aged 76-93 years participated. MNA results showed that 47% were at risk of malnutrition. Care plans for 26 patients made reference to questions of nutrition but provided no detailed forward planning. The mean serum albumin value was 39.1±3.8 g/l, seven patients had a value lower than 35 g/l. MNA scores were significantly lower for female patients with haemoglobin values lower than 120 g/l (p = 0.027). The dentist's estimation of dry mouth and subjective problems in energy intake were significantly associated with lower MNA scores (p = 0.049 and p = 0.015). Subjects with functioning natural dentition had higher body mass index (BMI) scores than others (p = 0.0485). The results point at the importance of using screening tools such as the MNA for purposes of nutritional assessment, the estimation of oral problems such as dry mouth, chewing and swallowing problems, and advance planning in nutritional issues within the field of home care. © The Journal of Nutrition, Health &amp; Aging.","author":[{"dropping-particle":"","family":"Soini","given":"H.","non-dropping-particle":"","parse-names":false,"suffix":""},{"dropping-particle":"","family":"Routasalo","given":"P.","non-dropping-particle":"","parse-names":false,"suffix":""},{"dropping-particle":"","family":"Lagström","given":"H.","non-dropping-particle":"","parse-names":false,"suffix":""}],"container-title":"Journal of Nutrition, Health and Aging","id":"ITEM-1","issue":"4","issued":{"date-parts":[["2005"]]},"page":"249-253","title":"\"Nutritional status in cognitively intact older people receiving home care services - A pilot study\"","type":"article-journal","volume":"9"},"uris":["http://www.mendeley.com/documents/?uuid=d19f7543-02ef-4660-a5d3-ee213c274c42"]}],"mendeley":{"formattedCitation":"(24)","manualFormatting":"[24]","plainTextFormattedCitation":"(24)","previouslyFormattedCitation":"(24)"},"properties":{"noteIndex":0},"schema":"https://github.com/citation-style-language/schema/raw/master/csl-citation.json"}</w:instrText>
      </w:r>
      <w:r w:rsidR="009D32D1">
        <w:rPr>
          <w:bCs/>
        </w:rPr>
        <w:fldChar w:fldCharType="separate"/>
      </w:r>
      <w:r w:rsidR="00697A07">
        <w:rPr>
          <w:bCs/>
          <w:noProof/>
        </w:rPr>
        <w:t>[</w:t>
      </w:r>
      <w:r w:rsidR="00566730" w:rsidRPr="002E3457">
        <w:rPr>
          <w:bCs/>
          <w:noProof/>
        </w:rPr>
        <w:t>24</w:t>
      </w:r>
      <w:r w:rsidR="00697A07">
        <w:rPr>
          <w:bCs/>
          <w:noProof/>
        </w:rPr>
        <w:t>]</w:t>
      </w:r>
      <w:r w:rsidR="009D32D1">
        <w:rPr>
          <w:bCs/>
        </w:rPr>
        <w:fldChar w:fldCharType="end"/>
      </w:r>
      <w:r w:rsidR="00697A07">
        <w:rPr>
          <w:bCs/>
        </w:rPr>
        <w:t xml:space="preserve"> </w:t>
      </w:r>
      <w:r w:rsidR="00123F0E">
        <w:rPr>
          <w:bCs/>
        </w:rPr>
        <w:t>.</w:t>
      </w:r>
      <w:r w:rsidRPr="00C27AD3">
        <w:rPr>
          <w:bCs/>
        </w:rPr>
        <w:t xml:space="preserve"> Sleep, eating, bathing and </w:t>
      </w:r>
      <w:r w:rsidRPr="00C27AD3">
        <w:rPr>
          <w:bCs/>
        </w:rPr>
        <w:lastRenderedPageBreak/>
        <w:t>dressing, leisure activities, and light activities are the 5 most activities performed by the elderly. Next followed by walking, activities carried out by sitting, sweeping, washing clothes and plates without machines, and doing housework. This suggests that most habits of the elderly daily activities are less active. If the physical activity is seen, the distribution of samples with the most mild activity on the status of excess nutrients</w:t>
      </w:r>
      <w:r w:rsidR="00A50FC7">
        <w:rPr>
          <w:bCs/>
        </w:rPr>
        <w:t xml:space="preserve"> (92.7%)  </w:t>
      </w:r>
      <w:r w:rsidR="009D32D1">
        <w:rPr>
          <w:bCs/>
        </w:rPr>
        <w:fldChar w:fldCharType="begin" w:fldLock="1"/>
      </w:r>
      <w:r w:rsidR="00F67A4C">
        <w:rPr>
          <w:bCs/>
        </w:rPr>
        <w:instrText>ADDIN CSL_CITATION {"citationItems":[{"id":"ITEM-1","itemData":{"author":[{"dropping-particle":"","family":"Lestari","given":"Widya","non-dropping-particle":"","parse-names":false,"suffix":""},{"dropping-particle":"","family":"Weta","given":"I Wayan","non-dropping-particle":"","parse-names":false,"suffix":""}],"container-title":"Kedokteran dan Kesehatan , Universitas Sri Wijaya","id":"ITEM-1","issue":"2","issued":{"date-parts":[["2017"]]},"page":"56-63","title":"\"Elderly nutritional Status based on knowledge and physical activity, in the working area of Sukawati 1 Puskesmas, Gianya, Bali\"","type":"article-journal","volume":"4"},"uris":["http://www.mendeley.com/documents/?uuid=da184854-5da5-46b0-bcdd-fe35b30d2833"]}],"mendeley":{"formattedCitation":"(25)","manualFormatting":"[25]","plainTextFormattedCitation":"(25)","previouslyFormattedCitation":"(25)"},"properties":{"noteIndex":0},"schema":"https://github.com/citation-style-language/schema/raw/master/csl-citation.json"}</w:instrText>
      </w:r>
      <w:r w:rsidR="009D32D1">
        <w:rPr>
          <w:bCs/>
        </w:rPr>
        <w:fldChar w:fldCharType="separate"/>
      </w:r>
      <w:r w:rsidR="00F67A4C">
        <w:rPr>
          <w:bCs/>
          <w:noProof/>
        </w:rPr>
        <w:t>[</w:t>
      </w:r>
      <w:r w:rsidR="00566730" w:rsidRPr="003406D6">
        <w:rPr>
          <w:bCs/>
          <w:noProof/>
        </w:rPr>
        <w:t>25</w:t>
      </w:r>
      <w:r w:rsidR="00F67A4C">
        <w:rPr>
          <w:bCs/>
          <w:noProof/>
        </w:rPr>
        <w:t>]</w:t>
      </w:r>
      <w:r w:rsidR="009D32D1">
        <w:rPr>
          <w:bCs/>
        </w:rPr>
        <w:fldChar w:fldCharType="end"/>
      </w:r>
      <w:r w:rsidR="00F67A4C" w:rsidRPr="00C27AD3">
        <w:rPr>
          <w:bCs/>
        </w:rPr>
        <w:t xml:space="preserve"> </w:t>
      </w:r>
      <w:r w:rsidRPr="00C27AD3">
        <w:rPr>
          <w:bCs/>
        </w:rPr>
        <w:t>.</w:t>
      </w:r>
    </w:p>
    <w:p w:rsidR="00C27AD3" w:rsidRPr="00C27AD3" w:rsidRDefault="00C27AD3" w:rsidP="00C27AD3">
      <w:pPr>
        <w:ind w:firstLine="720"/>
        <w:jc w:val="both"/>
        <w:rPr>
          <w:bCs/>
        </w:rPr>
      </w:pPr>
      <w:r w:rsidRPr="00C27AD3">
        <w:rPr>
          <w:bCs/>
        </w:rPr>
        <w:t>The results were also in line with the study conducted by Scharader stating that the ability to conduct daily life activities (ADL) decreased with the declining status of nutrition. The proportion of patients who are unable to do TUG increases with the worsening of nutritional status (45.0% vs 50.4% vs. 77.0%, P</w:t>
      </w:r>
      <w:r w:rsidR="00A50FC7">
        <w:rPr>
          <w:bCs/>
        </w:rPr>
        <w:t>. &lt; 0.01)</w:t>
      </w:r>
      <w:r w:rsidRPr="00C27AD3">
        <w:rPr>
          <w:bCs/>
        </w:rPr>
        <w:t xml:space="preserve"> </w:t>
      </w:r>
      <w:r w:rsidR="009D32D1">
        <w:rPr>
          <w:bCs/>
        </w:rPr>
        <w:fldChar w:fldCharType="begin" w:fldLock="1"/>
      </w:r>
      <w:r w:rsidR="00F67A4C">
        <w:rPr>
          <w:bCs/>
        </w:rPr>
        <w:instrText>ADDIN CSL_CITATION {"citationItems":[{"id":"ITEM-1","itemData":{"DOI":"10.1007/s12603-013-0394-z","abstract":"OBJECTIVES: The aim of this study was to investigate the relationship between nutritional and functional status in acute geriatric patients including mobility and considering health status","author":[{"dropping-particle":"","family":"Schrader E, Baumgartel C","given":"Geuldenzoph","non-dropping-particle":"","parse-names":false,"suffix":""}],"container-title":"J Nurt Health Aging","id":"ITEM-1","issued":{"date-parts":[["2014"]]},"page":"257-63","title":"\"Nutritional status according to Mini Nutritional Assessment is related to functional status in geriatric patients independent of health status,\"","type":"article-journal","volume":"18 (3)"},"uris":["http://www.mendeley.com/documents/?uuid=1ca104dc-2402-4f42-a2cb-b85595158c41"]}],"mendeley":{"formattedCitation":"(26)","manualFormatting":"[26]","plainTextFormattedCitation":"(26)","previouslyFormattedCitation":"(26)"},"properties":{"noteIndex":0},"schema":"https://github.com/citation-style-language/schema/raw/master/csl-citation.json"}</w:instrText>
      </w:r>
      <w:r w:rsidR="009D32D1">
        <w:rPr>
          <w:bCs/>
        </w:rPr>
        <w:fldChar w:fldCharType="separate"/>
      </w:r>
      <w:r w:rsidR="00F67A4C">
        <w:rPr>
          <w:bCs/>
          <w:noProof/>
        </w:rPr>
        <w:t>[</w:t>
      </w:r>
      <w:r w:rsidR="00566730" w:rsidRPr="003406D6">
        <w:rPr>
          <w:bCs/>
          <w:noProof/>
        </w:rPr>
        <w:t>26</w:t>
      </w:r>
      <w:r w:rsidR="00F67A4C">
        <w:rPr>
          <w:bCs/>
          <w:noProof/>
        </w:rPr>
        <w:t>]</w:t>
      </w:r>
      <w:r w:rsidR="009D32D1">
        <w:rPr>
          <w:bCs/>
        </w:rPr>
        <w:fldChar w:fldCharType="end"/>
      </w:r>
      <w:r w:rsidR="00F67A4C">
        <w:rPr>
          <w:bCs/>
        </w:rPr>
        <w:t xml:space="preserve"> </w:t>
      </w:r>
      <w:r w:rsidR="00A50FC7">
        <w:rPr>
          <w:bCs/>
        </w:rPr>
        <w:t>.</w:t>
      </w:r>
    </w:p>
    <w:p w:rsidR="00C27AD3" w:rsidRDefault="00C27AD3" w:rsidP="00C27AD3">
      <w:pPr>
        <w:ind w:firstLine="720"/>
        <w:jc w:val="both"/>
        <w:rPr>
          <w:bCs/>
        </w:rPr>
      </w:pPr>
      <w:r w:rsidRPr="00C27AD3">
        <w:rPr>
          <w:bCs/>
        </w:rPr>
        <w:t>Unlike the results of the study conducted by Lores Casanova stating that no significant relationship was observed between physical activity and nutritiona</w:t>
      </w:r>
      <w:r w:rsidR="00A50FC7">
        <w:rPr>
          <w:bCs/>
        </w:rPr>
        <w:t xml:space="preserve">l status </w:t>
      </w:r>
      <w:r w:rsidR="009D32D1">
        <w:rPr>
          <w:bCs/>
        </w:rPr>
        <w:fldChar w:fldCharType="begin" w:fldLock="1"/>
      </w:r>
      <w:r w:rsidR="00F67A4C">
        <w:rPr>
          <w:bCs/>
        </w:rPr>
        <w:instrText>ADDIN CSL_CITATION {"citationItems":[{"id":"ITEM-1","itemData":{"DOI":"10.1016/j.semerg.2019.10.010","PMID":"31902675","abstract":"OBJECTIVE: To describe the level of physical activity (PA) of a sample of independent non-institutionalised elderly and its relationship between nutritional status and psychosocial conditions of the elderly. MATERIAL AND METHODS: A multicentre cross-sectional descriptive study carried out in Health Centres of the city of Huesca in a sample size of patients over 75 years-old. Demographic, psychosocial, nutritional, anthropometric, and PA variables were analysed. The short scale of Minnesota in Spanish (VREM) was used to measure the latter. RESULTS: The mean age was 81.58 years (±4) with a gender distribution of 51.7% women. The group were in a good health condition overall: Mild physical impairment (45%), correct mental health as regards cognition (93%) or mood (88%), favourable social status (96%), independence for activities of daily living (100%), and a good perceived quality of life (score&gt;70 in 70%). There was a mean of 4666.2 METS-Min/14 days obtained in PA, and 10% of the participants were identified as sedentary. A statistically significant inverse relationship (P&lt;.05) was observed between PA and functional disability, sarcopenia and body composition (waist circumference, sagittal abdominal diameter, mass index, and body fat percentage). No significant relationship was observed between PA and nutritional status and psychosocial conditions. The relationship between the nutritional status and the variables of the psychosocial sphere was significant (P&lt;.01). CONCLUSIONS: The characteristics of the population studied in the organic, functional, psychical, and social spheres do not suggest important limitations for PA. An insignificant percentage of the elderly does not perform enough PA. There is a significant relationship between physical exercise and favourable body composition rates.","author":[{"dropping-particle":"","family":"Casanova","given":"Lores","non-dropping-particle":"","parse-names":false,"suffix":""},{"dropping-particle":"","family":"Manas","given":"Rodrigues","non-dropping-particle":"","parse-names":false,"suffix":""},{"dropping-particle":"","family":"Loren Aznar","given":"","non-dropping-particle":"","parse-names":false,"suffix":""},{"dropping-particle":"","family":"Al","given":"Et","non-dropping-particle":"","parse-names":false,"suffix":""}],"container-title":"SEMERGEN","id":"ITEM-1","issued":{"date-parts":[["2020"]]},"title":"\"Physical activity and nutritional and psychosocial status in non-dependent elderly,\"","type":"article-journal","volume":"S1138-3593"},"uris":["http://www.mendeley.com/documents/?uuid=7688bbd9-5d57-4e1e-89a8-d3d8ff2293c2"]}],"mendeley":{"formattedCitation":"(27)","manualFormatting":"[27]","plainTextFormattedCitation":"(27)","previouslyFormattedCitation":"(27)"},"properties":{"noteIndex":0},"schema":"https://github.com/citation-style-language/schema/raw/master/csl-citation.json"}</w:instrText>
      </w:r>
      <w:r w:rsidR="009D32D1">
        <w:rPr>
          <w:bCs/>
        </w:rPr>
        <w:fldChar w:fldCharType="separate"/>
      </w:r>
      <w:r w:rsidR="00F67A4C">
        <w:rPr>
          <w:bCs/>
          <w:noProof/>
        </w:rPr>
        <w:t>[</w:t>
      </w:r>
      <w:r w:rsidR="00566730" w:rsidRPr="003406D6">
        <w:rPr>
          <w:bCs/>
          <w:noProof/>
        </w:rPr>
        <w:t>27</w:t>
      </w:r>
      <w:r w:rsidR="00F67A4C">
        <w:rPr>
          <w:bCs/>
          <w:noProof/>
        </w:rPr>
        <w:t>]</w:t>
      </w:r>
      <w:r w:rsidR="009D32D1">
        <w:rPr>
          <w:bCs/>
        </w:rPr>
        <w:fldChar w:fldCharType="end"/>
      </w:r>
      <w:r w:rsidR="00F67A4C">
        <w:rPr>
          <w:bCs/>
        </w:rPr>
        <w:t xml:space="preserve"> </w:t>
      </w:r>
      <w:r w:rsidR="00123F0E">
        <w:rPr>
          <w:bCs/>
        </w:rPr>
        <w:t>.</w:t>
      </w:r>
    </w:p>
    <w:p w:rsidR="00C27AD3" w:rsidRPr="00C27AD3" w:rsidRDefault="00C27AD3" w:rsidP="00DC36BC">
      <w:pPr>
        <w:ind w:firstLine="720"/>
        <w:jc w:val="both"/>
        <w:rPr>
          <w:bCs/>
        </w:rPr>
      </w:pPr>
      <w:r w:rsidRPr="00C27AD3">
        <w:rPr>
          <w:bCs/>
        </w:rPr>
        <w:t>Problems encountered in the elderly are lack of appetite, imperfect digestive processes, difficult bowel movements, and food utilization as an energy source. With this problem-oriented, can be designed a physical exercise that aims to increase appetite (input), facilitate the digestion and bowel processes (processes), and streamline the utilization of energy in the body (out put). As great as any nutrient composition is provided, if not eaten, processed, and utilized by the body, then it is not able to give results.</w:t>
      </w:r>
    </w:p>
    <w:p w:rsidR="00C27AD3" w:rsidRPr="00C27AD3" w:rsidRDefault="00C27AD3" w:rsidP="00C27AD3">
      <w:pPr>
        <w:ind w:firstLine="720"/>
        <w:jc w:val="both"/>
        <w:rPr>
          <w:bCs/>
        </w:rPr>
      </w:pPr>
      <w:r w:rsidRPr="00C27AD3">
        <w:rPr>
          <w:bCs/>
        </w:rPr>
        <w:t>After the elderly, most elderly reduce their physical activity, because stamina has decreased, have a certain health condition or because of the absence of opportunity. In fact, the elderly should be moving and physical activities every day, with the activity of bias preventing health problems as well as keeping the body in prime condition. Such as consuming supplements, vitamins or consuming eating and healthy drinks, physical activity is also able to prevent various diseases.</w:t>
      </w:r>
    </w:p>
    <w:p w:rsidR="00C27AD3" w:rsidRDefault="00C27AD3" w:rsidP="00C27AD3">
      <w:pPr>
        <w:ind w:firstLine="720"/>
        <w:jc w:val="both"/>
        <w:rPr>
          <w:bCs/>
        </w:rPr>
      </w:pPr>
      <w:r w:rsidRPr="00C27AD3">
        <w:rPr>
          <w:bCs/>
        </w:rPr>
        <w:t>There are many different types of sports or physical activities for the elderly that can be tailored to the needs. For medium intensity, for example, close-up walking, house cleaning, leisurely cycling, stair climbing, and gardening. Meanwhile, heavy activities include swimming, Tai chi, yoga, jogging, fast walking, carrying children, to</w:t>
      </w:r>
      <w:r w:rsidR="00A50FC7">
        <w:rPr>
          <w:bCs/>
        </w:rPr>
        <w:t xml:space="preserve"> badminton </w:t>
      </w:r>
      <w:r w:rsidR="009D32D1">
        <w:rPr>
          <w:bCs/>
        </w:rPr>
        <w:fldChar w:fldCharType="begin" w:fldLock="1"/>
      </w:r>
      <w:r w:rsidR="00F67A4C">
        <w:rPr>
          <w:bCs/>
        </w:rPr>
        <w:instrText>ADDIN CSL_CITATION {"citationItems":[{"id":"ITEM-1","itemData":{"abstract":"Menentukan olahraga untuk lansia tidak dapat disamakan dengan olahraga untuk muda-mudi. Sebagian besar orang yang sudah menginjak usia 65 tahun ke atas memang dianjurkan mengurangi aktivitas berat, tetapi bukan berhenti begitu saja. Pasalnya, beraktivitas di masa senja memberikan sejumlah manfaat, seperti keseimbangan tubuh yang lebih stabil, mencegah penyakit, hingga menjaga ketajaman mental. Olahraga atau aktivitas fisik untuk lansia perlu disesuaikan dengan kemampuan dan kondisi manula yang bersangkutan. Anda dapat memulainya dengan sesi konsultasi untuk memperoleh rekomendasi tipe aktivitas yang cocok dan batasan yang masih aman untuk tubuh mereka.","author":[{"dropping-particle":"","family":"Direktorat Promosi Kesehatan dan Pemberdayaan Masyarakar","given":"","non-dropping-particle":"","parse-names":false,"suffix":""}],"id":"ITEM-1","issued":{"date-parts":[["2018"]]},"publisher-place":"Jakarta","title":"\"Physical activity for the elderly,\"","type":"article-magazine"},"uris":["http://www.mendeley.com/documents/?uuid=53c68679-35b6-4625-867f-6590188e383d"]}],"mendeley":{"formattedCitation":"(28)","manualFormatting":"[28]","plainTextFormattedCitation":"(28)","previouslyFormattedCitation":"(28)"},"properties":{"noteIndex":0},"schema":"https://github.com/citation-style-language/schema/raw/master/csl-citation.json"}</w:instrText>
      </w:r>
      <w:r w:rsidR="009D32D1">
        <w:rPr>
          <w:bCs/>
        </w:rPr>
        <w:fldChar w:fldCharType="separate"/>
      </w:r>
      <w:r w:rsidR="00F67A4C">
        <w:rPr>
          <w:bCs/>
          <w:noProof/>
        </w:rPr>
        <w:t>[</w:t>
      </w:r>
      <w:r w:rsidR="00566730" w:rsidRPr="000A678B">
        <w:rPr>
          <w:bCs/>
          <w:noProof/>
        </w:rPr>
        <w:t>28</w:t>
      </w:r>
      <w:r w:rsidR="00F67A4C">
        <w:rPr>
          <w:bCs/>
          <w:noProof/>
        </w:rPr>
        <w:t>]</w:t>
      </w:r>
      <w:r w:rsidR="009D32D1">
        <w:rPr>
          <w:bCs/>
        </w:rPr>
        <w:fldChar w:fldCharType="end"/>
      </w:r>
      <w:r w:rsidR="00F67A4C">
        <w:rPr>
          <w:bCs/>
        </w:rPr>
        <w:t xml:space="preserve"> </w:t>
      </w:r>
      <w:r w:rsidR="00123F0E">
        <w:rPr>
          <w:bCs/>
        </w:rPr>
        <w:t>.</w:t>
      </w:r>
    </w:p>
    <w:p w:rsidR="00C27AD3" w:rsidRDefault="00C27AD3" w:rsidP="0030589C">
      <w:pPr>
        <w:ind w:firstLine="720"/>
        <w:jc w:val="both"/>
        <w:rPr>
          <w:bCs/>
        </w:rPr>
      </w:pPr>
    </w:p>
    <w:p w:rsidR="00C27AD3" w:rsidRPr="00DC36BC" w:rsidRDefault="00DC36BC" w:rsidP="00DC36BC">
      <w:pPr>
        <w:jc w:val="both"/>
        <w:rPr>
          <w:b/>
          <w:bCs/>
        </w:rPr>
      </w:pPr>
      <w:r w:rsidRPr="00DC36BC">
        <w:rPr>
          <w:b/>
          <w:bCs/>
        </w:rPr>
        <w:t>3.2.4.Contributions to age and intellectual function of activity</w:t>
      </w:r>
    </w:p>
    <w:p w:rsidR="00C27AD3" w:rsidRDefault="00DC36BC" w:rsidP="0030589C">
      <w:pPr>
        <w:ind w:firstLine="720"/>
        <w:jc w:val="both"/>
        <w:rPr>
          <w:bCs/>
        </w:rPr>
      </w:pPr>
      <w:r w:rsidRPr="00DC36BC">
        <w:rPr>
          <w:bCs/>
        </w:rPr>
        <w:t>The magnitude of the simultaneous age and mental contributions that have been on the basis of the elderly activity is R</w:t>
      </w:r>
      <w:r w:rsidRPr="00DC36BC">
        <w:rPr>
          <w:bCs/>
          <w:vertAlign w:val="superscript"/>
        </w:rPr>
        <w:t>2</w:t>
      </w:r>
      <w:r w:rsidRPr="00DC36BC">
        <w:rPr>
          <w:bCs/>
        </w:rPr>
        <w:t xml:space="preserve"> </w:t>
      </w:r>
      <w:r w:rsidRPr="00DC36BC">
        <w:rPr>
          <w:bCs/>
          <w:vertAlign w:val="subscript"/>
        </w:rPr>
        <w:t>square</w:t>
      </w:r>
      <w:r w:rsidRPr="00DC36BC">
        <w:rPr>
          <w:bCs/>
        </w:rPr>
        <w:t xml:space="preserve"> = 0.0327 or 3.27%, the remainder of which is 96.73% influenced by other factors.</w:t>
      </w:r>
    </w:p>
    <w:p w:rsidR="00DC36BC" w:rsidRDefault="00DC36BC" w:rsidP="00DC36BC">
      <w:pPr>
        <w:jc w:val="both"/>
        <w:rPr>
          <w:bCs/>
        </w:rPr>
      </w:pPr>
      <w:r w:rsidRPr="00DC36BC">
        <w:rPr>
          <w:bCs/>
        </w:rPr>
        <w:t>The results were in line with the research result of Emile stating that the elderly with Deminsia suffered a mental breakdown of 12 – 50% of the conditions it affects in fulfilling its nutritional status and having difficulties in cond</w:t>
      </w:r>
      <w:r w:rsidR="00961F3D">
        <w:rPr>
          <w:bCs/>
        </w:rPr>
        <w:t xml:space="preserve">ucting daily activities </w:t>
      </w:r>
      <w:r w:rsidR="009D32D1">
        <w:rPr>
          <w:bCs/>
        </w:rPr>
        <w:fldChar w:fldCharType="begin" w:fldLock="1"/>
      </w:r>
      <w:r w:rsidR="00F67A4C">
        <w:rPr>
          <w:bCs/>
        </w:rPr>
        <w:instrText>ADDIN CSL_CITATION {"citationItems":[{"id":"ITEM-1","itemData":{"DOI":"10.1186%2Fs12875-020-01128-7","PMID":"32220228","abstract":"The oldest old (individuals over 90 years) are a fast-growing population. Characterizing their specificity would be helpful to adapt health care. This study aimed to characterize the cognitive, functional, nutritional, and physical status of individuals over 90.","author":[{"dropping-particle":"","family":"Escourrow","given":"Emile","non-dropping-particle":"","parse-names":false,"suffix":""},{"dropping-particle":"","family":"Durrieu","given":"Flourence","non-dropping-particle":"","parse-names":false,"suffix":""},{"dropping-particle":"","family":"Chicoulea","given":"Bruno","non-dropping-particle":"","parse-names":false,"suffix":""}],"container-title":"BMC Family Practice","id":"ITEM-1","issued":{"date-parts":[["2020"]]},"title":"\"Cognitive, functional, physical, and nutritional status of the oldest old encountered in primary care: a systematic review\"","type":"article-journal","volume":"21"},"uris":["http://www.mendeley.com/documents/?uuid=e5f7e13f-a3e2-483c-9dbe-461901a21483"]}],"mendeley":{"formattedCitation":"(29)","manualFormatting":"[29]","plainTextFormattedCitation":"(29)","previouslyFormattedCitation":"(29)"},"properties":{"noteIndex":0},"schema":"https://github.com/citation-style-language/schema/raw/master/csl-citation.json"}</w:instrText>
      </w:r>
      <w:r w:rsidR="009D32D1">
        <w:rPr>
          <w:bCs/>
        </w:rPr>
        <w:fldChar w:fldCharType="separate"/>
      </w:r>
      <w:r w:rsidR="00F67A4C">
        <w:rPr>
          <w:bCs/>
          <w:noProof/>
        </w:rPr>
        <w:t>[</w:t>
      </w:r>
      <w:r w:rsidR="00566730" w:rsidRPr="000A678B">
        <w:rPr>
          <w:bCs/>
          <w:noProof/>
        </w:rPr>
        <w:t>29</w:t>
      </w:r>
      <w:r w:rsidR="00F67A4C">
        <w:rPr>
          <w:bCs/>
          <w:noProof/>
        </w:rPr>
        <w:t>]</w:t>
      </w:r>
      <w:r w:rsidR="009D32D1">
        <w:rPr>
          <w:bCs/>
        </w:rPr>
        <w:fldChar w:fldCharType="end"/>
      </w:r>
      <w:r w:rsidR="00F67A4C">
        <w:rPr>
          <w:bCs/>
        </w:rPr>
        <w:t xml:space="preserve"> </w:t>
      </w:r>
      <w:r w:rsidR="00123F0E">
        <w:rPr>
          <w:bCs/>
        </w:rPr>
        <w:t>.</w:t>
      </w:r>
    </w:p>
    <w:p w:rsidR="00DC36BC" w:rsidRPr="00E371EA" w:rsidRDefault="00DC36BC" w:rsidP="0030589C">
      <w:pPr>
        <w:ind w:firstLine="720"/>
        <w:jc w:val="both"/>
        <w:rPr>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5D19AF">
        <w:rPr>
          <w:b/>
          <w:bCs/>
        </w:rPr>
        <w:t xml:space="preserve"> </w:t>
      </w:r>
    </w:p>
    <w:p w:rsidR="008C4BC1" w:rsidRPr="00C06B69" w:rsidRDefault="00F92CDC" w:rsidP="00C06B69">
      <w:pPr>
        <w:ind w:firstLine="720"/>
        <w:jc w:val="both"/>
      </w:pPr>
      <w:r w:rsidRPr="00F92CDC">
        <w:t>There is no direct influence on the age of activity and its impact on nutritional status. There is a direct influence on the intellectual function of activity and its impact on nutritional status. The amount of indirect age of contribution to nutritional status is 0.0004%. Contributions that do not directly affect the activity of-0.220%. Contribution of intellectual function directly to the nutritional status of 1.8%. The contribution of intellectual function directly affects the activity by 16%, the rest is influenced by other factors not described in this study.</w:t>
      </w:r>
      <w:r w:rsidR="000C691D" w:rsidRPr="000C691D">
        <w:t xml:space="preserve"> It is hoped that the research can continue with any contribution that can affect the nutritional status of the elderly.</w:t>
      </w:r>
    </w:p>
    <w:p w:rsidR="008C4BC1" w:rsidRPr="00EE7C89" w:rsidRDefault="008C4BC1" w:rsidP="00904D6D">
      <w:pPr>
        <w:rPr>
          <w:b/>
          <w:bCs/>
        </w:rPr>
      </w:pPr>
    </w:p>
    <w:p w:rsidR="00CC6173" w:rsidRPr="00C06B69" w:rsidRDefault="00F33C08" w:rsidP="00C06B69">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CC6173" w:rsidRDefault="00CC6173" w:rsidP="00C06B69">
      <w:pPr>
        <w:tabs>
          <w:tab w:val="left" w:pos="426"/>
        </w:tabs>
        <w:jc w:val="both"/>
        <w:rPr>
          <w:sz w:val="18"/>
          <w:szCs w:val="18"/>
        </w:rPr>
      </w:pPr>
    </w:p>
    <w:p w:rsidR="00EA586C" w:rsidRPr="00EA586C" w:rsidRDefault="00C06B69" w:rsidP="009C1485">
      <w:pPr>
        <w:widowControl w:val="0"/>
        <w:autoSpaceDE w:val="0"/>
        <w:autoSpaceDN w:val="0"/>
        <w:adjustRightInd w:val="0"/>
        <w:ind w:left="426" w:hanging="426"/>
        <w:jc w:val="both"/>
        <w:rPr>
          <w:noProof/>
          <w:sz w:val="18"/>
          <w:szCs w:val="24"/>
        </w:rPr>
      </w:pPr>
      <w:r>
        <w:rPr>
          <w:sz w:val="18"/>
          <w:szCs w:val="18"/>
        </w:rPr>
        <w:t>[</w:t>
      </w:r>
      <w:r w:rsidR="009D32D1">
        <w:rPr>
          <w:sz w:val="18"/>
          <w:szCs w:val="18"/>
        </w:rPr>
        <w:fldChar w:fldCharType="begin" w:fldLock="1"/>
      </w:r>
      <w:r w:rsidR="00CC6173">
        <w:rPr>
          <w:sz w:val="18"/>
          <w:szCs w:val="18"/>
        </w:rPr>
        <w:instrText xml:space="preserve">ADDIN Mendeley Bibliography CSL_BIBLIOGRAPHY </w:instrText>
      </w:r>
      <w:r w:rsidR="009D32D1">
        <w:rPr>
          <w:sz w:val="18"/>
          <w:szCs w:val="18"/>
        </w:rPr>
        <w:fldChar w:fldCharType="separate"/>
      </w:r>
      <w:r w:rsidR="00EA586C" w:rsidRPr="00EA586C">
        <w:rPr>
          <w:noProof/>
          <w:sz w:val="18"/>
          <w:szCs w:val="24"/>
        </w:rPr>
        <w:t>1</w:t>
      </w:r>
      <w:r w:rsidR="00F67A4C">
        <w:rPr>
          <w:noProof/>
          <w:sz w:val="18"/>
          <w:szCs w:val="24"/>
        </w:rPr>
        <w:t>]</w:t>
      </w:r>
      <w:r w:rsidR="00EA586C" w:rsidRPr="00EA586C">
        <w:rPr>
          <w:noProof/>
          <w:sz w:val="18"/>
          <w:szCs w:val="24"/>
        </w:rPr>
        <w:t xml:space="preserve"> </w:t>
      </w:r>
      <w:r w:rsidR="00EA586C" w:rsidRPr="00EA586C">
        <w:rPr>
          <w:noProof/>
          <w:sz w:val="18"/>
          <w:szCs w:val="24"/>
        </w:rPr>
        <w:tab/>
        <w:t xml:space="preserve">Maylasari I, Rahchmawati Y, Wilson H, Nugroho S, Sulistyowati N, Dewi F. </w:t>
      </w:r>
      <w:r w:rsidR="009C1485">
        <w:rPr>
          <w:noProof/>
          <w:sz w:val="18"/>
          <w:szCs w:val="24"/>
        </w:rPr>
        <w:t>; "</w:t>
      </w:r>
      <w:r w:rsidR="00EA586C" w:rsidRPr="00EA586C">
        <w:rPr>
          <w:noProof/>
          <w:sz w:val="18"/>
          <w:szCs w:val="24"/>
        </w:rPr>
        <w:t>Elderly statistics age 2019.</w:t>
      </w:r>
      <w:r w:rsidR="009C1485">
        <w:rPr>
          <w:noProof/>
          <w:sz w:val="18"/>
          <w:szCs w:val="24"/>
        </w:rPr>
        <w:t>"</w:t>
      </w:r>
      <w:r w:rsidR="00EA586C" w:rsidRPr="00EA586C">
        <w:rPr>
          <w:noProof/>
          <w:sz w:val="18"/>
          <w:szCs w:val="24"/>
        </w:rPr>
        <w:t xml:space="preserve"> Jakarta: </w:t>
      </w:r>
      <w:r w:rsidR="00EA586C" w:rsidRPr="009C1485">
        <w:rPr>
          <w:i/>
          <w:noProof/>
          <w:sz w:val="18"/>
          <w:szCs w:val="24"/>
        </w:rPr>
        <w:t>Central Statistic Agency</w:t>
      </w:r>
      <w:r w:rsidR="00EA586C" w:rsidRPr="00EA586C">
        <w:rPr>
          <w:noProof/>
          <w:sz w:val="18"/>
          <w:szCs w:val="24"/>
        </w:rPr>
        <w:t xml:space="preserve">; 2019. 258 p.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w:t>
      </w:r>
      <w:r w:rsidR="00EA586C" w:rsidRPr="00EA586C">
        <w:rPr>
          <w:noProof/>
          <w:sz w:val="18"/>
          <w:szCs w:val="24"/>
        </w:rPr>
        <w:t xml:space="preserve"> </w:t>
      </w:r>
      <w:r w:rsidR="00EA586C" w:rsidRPr="00EA586C">
        <w:rPr>
          <w:noProof/>
          <w:sz w:val="18"/>
          <w:szCs w:val="24"/>
        </w:rPr>
        <w:tab/>
        <w:t>Health M.</w:t>
      </w:r>
      <w:r w:rsidR="009C1485">
        <w:rPr>
          <w:noProof/>
          <w:sz w:val="18"/>
          <w:szCs w:val="24"/>
        </w:rPr>
        <w:t>;</w:t>
      </w:r>
      <w:r w:rsidR="00EA586C" w:rsidRPr="00EA586C">
        <w:rPr>
          <w:noProof/>
          <w:sz w:val="18"/>
          <w:szCs w:val="24"/>
        </w:rPr>
        <w:t xml:space="preserve"> </w:t>
      </w:r>
      <w:r w:rsidR="009C1485">
        <w:rPr>
          <w:noProof/>
          <w:sz w:val="18"/>
          <w:szCs w:val="24"/>
        </w:rPr>
        <w:t>"</w:t>
      </w:r>
      <w:r w:rsidR="00EA586C" w:rsidRPr="00EA586C">
        <w:rPr>
          <w:noProof/>
          <w:sz w:val="18"/>
          <w:szCs w:val="24"/>
        </w:rPr>
        <w:t>An overview of elderly health in Indonesia.</w:t>
      </w:r>
      <w:r w:rsidR="009C1485">
        <w:rPr>
          <w:noProof/>
          <w:sz w:val="18"/>
          <w:szCs w:val="24"/>
        </w:rPr>
        <w:t xml:space="preserve">", </w:t>
      </w:r>
      <w:r w:rsidR="009C1485" w:rsidRPr="009C1485">
        <w:rPr>
          <w:i/>
          <w:noProof/>
          <w:sz w:val="18"/>
          <w:szCs w:val="24"/>
        </w:rPr>
        <w:t>Mininstri of health,</w:t>
      </w:r>
      <w:r w:rsidR="00EA586C" w:rsidRPr="00EA586C">
        <w:rPr>
          <w:noProof/>
          <w:sz w:val="18"/>
          <w:szCs w:val="24"/>
        </w:rPr>
        <w:t xml:space="preserve"> Jakarta; 2013.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[3]</w:t>
      </w:r>
      <w:r w:rsidR="00EA586C" w:rsidRPr="00EA586C">
        <w:rPr>
          <w:noProof/>
          <w:sz w:val="18"/>
          <w:szCs w:val="24"/>
        </w:rPr>
        <w:t xml:space="preserve"> </w:t>
      </w:r>
      <w:r w:rsidR="00EA586C" w:rsidRPr="00EA586C">
        <w:rPr>
          <w:noProof/>
          <w:sz w:val="18"/>
          <w:szCs w:val="24"/>
        </w:rPr>
        <w:tab/>
        <w:t>Wreksoatmodjo.</w:t>
      </w:r>
      <w:r w:rsidR="009C1485">
        <w:rPr>
          <w:noProof/>
          <w:sz w:val="18"/>
          <w:szCs w:val="24"/>
        </w:rPr>
        <w:t>;</w:t>
      </w:r>
      <w:r w:rsidR="00EA586C" w:rsidRPr="00EA586C">
        <w:rPr>
          <w:noProof/>
          <w:sz w:val="18"/>
          <w:szCs w:val="24"/>
        </w:rPr>
        <w:t xml:space="preserve"> “Some physical conditions and diseases are a risk factor for impairment of cognitive function,.” 1st ed. Jakarta:</w:t>
      </w:r>
      <w:r w:rsidR="00EA586C" w:rsidRPr="009C1485">
        <w:rPr>
          <w:i/>
          <w:noProof/>
          <w:sz w:val="18"/>
          <w:szCs w:val="24"/>
        </w:rPr>
        <w:t xml:space="preserve"> CDK</w:t>
      </w:r>
      <w:r w:rsidR="00EA586C" w:rsidRPr="00EA586C">
        <w:rPr>
          <w:noProof/>
          <w:sz w:val="18"/>
          <w:szCs w:val="24"/>
        </w:rPr>
        <w:t xml:space="preserve">; 2013. 25–32 p.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w:t>
      </w:r>
      <w:r w:rsidR="00EA586C" w:rsidRPr="00EA586C">
        <w:rPr>
          <w:noProof/>
          <w:sz w:val="18"/>
          <w:szCs w:val="24"/>
        </w:rPr>
        <w:t>4</w:t>
      </w:r>
      <w:r>
        <w:rPr>
          <w:noProof/>
          <w:sz w:val="18"/>
          <w:szCs w:val="24"/>
        </w:rPr>
        <w:t>]</w:t>
      </w:r>
      <w:r w:rsidR="00EA586C" w:rsidRPr="00EA586C">
        <w:rPr>
          <w:noProof/>
          <w:sz w:val="18"/>
          <w:szCs w:val="24"/>
        </w:rPr>
        <w:t xml:space="preserve"> </w:t>
      </w:r>
      <w:r w:rsidR="00EA586C" w:rsidRPr="00EA586C">
        <w:rPr>
          <w:noProof/>
          <w:sz w:val="18"/>
          <w:szCs w:val="24"/>
        </w:rPr>
        <w:tab/>
        <w:t>Safitri N. “Elderly health problems.”</w:t>
      </w:r>
      <w:r w:rsidR="009C1485">
        <w:rPr>
          <w:noProof/>
          <w:sz w:val="18"/>
          <w:szCs w:val="24"/>
        </w:rPr>
        <w:t xml:space="preserve"> </w:t>
      </w:r>
      <w:r w:rsidR="009C1485" w:rsidRPr="009C1485">
        <w:rPr>
          <w:i/>
          <w:noProof/>
          <w:sz w:val="18"/>
          <w:szCs w:val="24"/>
        </w:rPr>
        <w:t>Mininstry of health RI</w:t>
      </w:r>
      <w:r w:rsidR="009C1485">
        <w:rPr>
          <w:noProof/>
          <w:sz w:val="18"/>
          <w:szCs w:val="24"/>
        </w:rPr>
        <w:t xml:space="preserve"> </w:t>
      </w:r>
      <w:r w:rsidR="00EA586C" w:rsidRPr="00EA586C">
        <w:rPr>
          <w:noProof/>
          <w:sz w:val="18"/>
          <w:szCs w:val="24"/>
        </w:rPr>
        <w:t>. 2018; Available from: http://yankes.kemkes.go.id/read-masalah-kesehatan-pada-lansia-4884.html</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w:t>
      </w:r>
      <w:r w:rsidR="00EA586C" w:rsidRPr="00EA586C">
        <w:rPr>
          <w:noProof/>
          <w:sz w:val="18"/>
          <w:szCs w:val="24"/>
        </w:rPr>
        <w:t>5</w:t>
      </w:r>
      <w:r>
        <w:rPr>
          <w:noProof/>
          <w:sz w:val="18"/>
          <w:szCs w:val="24"/>
        </w:rPr>
        <w:t>]</w:t>
      </w:r>
      <w:r w:rsidR="00EA586C" w:rsidRPr="00EA586C">
        <w:rPr>
          <w:noProof/>
          <w:sz w:val="18"/>
          <w:szCs w:val="24"/>
        </w:rPr>
        <w:t xml:space="preserve"> </w:t>
      </w:r>
      <w:r w:rsidR="00EA586C" w:rsidRPr="00EA586C">
        <w:rPr>
          <w:noProof/>
          <w:sz w:val="18"/>
          <w:szCs w:val="24"/>
        </w:rPr>
        <w:tab/>
        <w:t>A Y, B N, R M.</w:t>
      </w:r>
      <w:r w:rsidR="009C1485">
        <w:rPr>
          <w:noProof/>
          <w:sz w:val="18"/>
          <w:szCs w:val="24"/>
        </w:rPr>
        <w:t>;</w:t>
      </w:r>
      <w:r w:rsidR="00EA586C" w:rsidRPr="00EA586C">
        <w:rPr>
          <w:noProof/>
          <w:sz w:val="18"/>
          <w:szCs w:val="24"/>
        </w:rPr>
        <w:t xml:space="preserve"> “Difference in quality with an elderly social.” e-Journal Pustaka Kesehatan. 2014;2 (1)(87–94).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w:t>
      </w:r>
      <w:r w:rsidR="00EA586C" w:rsidRPr="00EA586C">
        <w:rPr>
          <w:noProof/>
          <w:sz w:val="18"/>
          <w:szCs w:val="24"/>
        </w:rPr>
        <w:t>6</w:t>
      </w:r>
      <w:r>
        <w:rPr>
          <w:noProof/>
          <w:sz w:val="18"/>
          <w:szCs w:val="24"/>
        </w:rPr>
        <w:t>]</w:t>
      </w:r>
      <w:r w:rsidR="00EA586C" w:rsidRPr="00EA586C">
        <w:rPr>
          <w:noProof/>
          <w:sz w:val="18"/>
          <w:szCs w:val="24"/>
        </w:rPr>
        <w:t xml:space="preserve"> </w:t>
      </w:r>
      <w:r w:rsidR="00EA586C" w:rsidRPr="00EA586C">
        <w:rPr>
          <w:noProof/>
          <w:sz w:val="18"/>
          <w:szCs w:val="24"/>
        </w:rPr>
        <w:tab/>
        <w:t xml:space="preserve">Maryam RS, Ekasari MF R. “Getting to know their age and care.” 1st ed. Jakarta: Salemba Medika; 2011.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[7]</w:t>
      </w:r>
      <w:r w:rsidR="00EA586C" w:rsidRPr="00EA586C">
        <w:rPr>
          <w:noProof/>
          <w:sz w:val="18"/>
          <w:szCs w:val="24"/>
        </w:rPr>
        <w:t xml:space="preserve"> </w:t>
      </w:r>
      <w:r w:rsidR="00EA586C" w:rsidRPr="00EA586C">
        <w:rPr>
          <w:noProof/>
          <w:sz w:val="18"/>
          <w:szCs w:val="24"/>
        </w:rPr>
        <w:tab/>
        <w:t xml:space="preserve">Zulaika S W. </w:t>
      </w:r>
      <w:r w:rsidR="009C1485">
        <w:rPr>
          <w:noProof/>
          <w:sz w:val="18"/>
          <w:szCs w:val="24"/>
        </w:rPr>
        <w:t xml:space="preserve">; </w:t>
      </w:r>
      <w:r w:rsidR="00EA586C" w:rsidRPr="00EA586C">
        <w:rPr>
          <w:noProof/>
          <w:sz w:val="18"/>
          <w:szCs w:val="24"/>
        </w:rPr>
        <w:t xml:space="preserve">“Relationship Status of nutrition (mini nutritional assesment) with the level of self-reliance (index of the Cathz) sufferers in the hospital geriatrics Karyadi Semarag.” </w:t>
      </w:r>
      <w:r w:rsidR="009C1485" w:rsidRPr="009C1485">
        <w:rPr>
          <w:i/>
          <w:noProof/>
          <w:sz w:val="18"/>
          <w:szCs w:val="24"/>
        </w:rPr>
        <w:t xml:space="preserve">Health Jurnal </w:t>
      </w:r>
      <w:r w:rsidR="00EA586C" w:rsidRPr="00EA586C">
        <w:rPr>
          <w:noProof/>
          <w:sz w:val="18"/>
          <w:szCs w:val="24"/>
        </w:rPr>
        <w:t xml:space="preserve">. 2009;2.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w:t>
      </w:r>
      <w:r w:rsidR="00EA586C" w:rsidRPr="00EA586C">
        <w:rPr>
          <w:noProof/>
          <w:sz w:val="18"/>
          <w:szCs w:val="24"/>
        </w:rPr>
        <w:t>8</w:t>
      </w:r>
      <w:r>
        <w:rPr>
          <w:noProof/>
          <w:sz w:val="18"/>
          <w:szCs w:val="24"/>
        </w:rPr>
        <w:t>]</w:t>
      </w:r>
      <w:r w:rsidR="00EA586C" w:rsidRPr="00EA586C">
        <w:rPr>
          <w:noProof/>
          <w:sz w:val="18"/>
          <w:szCs w:val="24"/>
        </w:rPr>
        <w:t xml:space="preserve"> </w:t>
      </w:r>
      <w:r w:rsidR="00EA586C" w:rsidRPr="00EA586C">
        <w:rPr>
          <w:noProof/>
          <w:sz w:val="18"/>
          <w:szCs w:val="24"/>
        </w:rPr>
        <w:tab/>
        <w:t xml:space="preserve">Mlinac ME, Feng MC. Assessment of activities of daily living, self-care, and independence". Archives of </w:t>
      </w:r>
      <w:r w:rsidR="00EA586C" w:rsidRPr="009C1485">
        <w:rPr>
          <w:i/>
          <w:noProof/>
          <w:sz w:val="18"/>
          <w:szCs w:val="24"/>
        </w:rPr>
        <w:t>Cli</w:t>
      </w:r>
      <w:r w:rsidR="009C1485" w:rsidRPr="009C1485">
        <w:rPr>
          <w:i/>
          <w:noProof/>
          <w:sz w:val="18"/>
          <w:szCs w:val="24"/>
        </w:rPr>
        <w:t xml:space="preserve">nical Neuropsychology </w:t>
      </w:r>
      <w:r w:rsidR="00EA586C" w:rsidRPr="00EA586C">
        <w:rPr>
          <w:noProof/>
          <w:sz w:val="18"/>
          <w:szCs w:val="24"/>
        </w:rPr>
        <w:t>. 2016;31(6):506–16. Available from: https://academic.oup.com/acn/article/31/6/506/1727834</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[9]</w:t>
      </w:r>
      <w:r w:rsidR="00EA586C" w:rsidRPr="00EA586C">
        <w:rPr>
          <w:noProof/>
          <w:sz w:val="18"/>
          <w:szCs w:val="24"/>
        </w:rPr>
        <w:t xml:space="preserve"> </w:t>
      </w:r>
      <w:r w:rsidR="00EA586C" w:rsidRPr="00EA586C">
        <w:rPr>
          <w:noProof/>
          <w:sz w:val="18"/>
          <w:szCs w:val="24"/>
        </w:rPr>
        <w:tab/>
        <w:t>Welch DC, West RL.</w:t>
      </w:r>
      <w:r w:rsidR="009C1485">
        <w:rPr>
          <w:noProof/>
          <w:sz w:val="18"/>
          <w:szCs w:val="24"/>
        </w:rPr>
        <w:t>;</w:t>
      </w:r>
      <w:r w:rsidR="00EA586C" w:rsidRPr="00EA586C">
        <w:rPr>
          <w:noProof/>
          <w:sz w:val="18"/>
          <w:szCs w:val="24"/>
        </w:rPr>
        <w:t xml:space="preserve"> “The short portable mental status questionnaire.” </w:t>
      </w:r>
      <w:r w:rsidR="00EA586C" w:rsidRPr="009C1485">
        <w:rPr>
          <w:i/>
          <w:noProof/>
          <w:sz w:val="18"/>
          <w:szCs w:val="24"/>
        </w:rPr>
        <w:t>Nursing Research</w:t>
      </w:r>
      <w:r w:rsidR="00EA586C" w:rsidRPr="00EA586C">
        <w:rPr>
          <w:noProof/>
          <w:sz w:val="18"/>
          <w:szCs w:val="24"/>
        </w:rPr>
        <w:t>. 2010;48(6):329–32. Available from: https://geriatrics.stanford.edu/culturemed/overview/assessment/assessment_toolkit/spmsq.html</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[10]</w:t>
      </w:r>
      <w:r w:rsidR="00EA586C" w:rsidRPr="00EA586C">
        <w:rPr>
          <w:noProof/>
          <w:sz w:val="18"/>
          <w:szCs w:val="24"/>
        </w:rPr>
        <w:t xml:space="preserve"> </w:t>
      </w:r>
      <w:r w:rsidR="00EA586C" w:rsidRPr="00EA586C">
        <w:rPr>
          <w:noProof/>
          <w:sz w:val="18"/>
          <w:szCs w:val="24"/>
        </w:rPr>
        <w:tab/>
        <w:t xml:space="preserve">Ibrahim. </w:t>
      </w:r>
      <w:r w:rsidR="009C1485">
        <w:rPr>
          <w:noProof/>
          <w:sz w:val="18"/>
          <w:szCs w:val="24"/>
        </w:rPr>
        <w:t xml:space="preserve">; </w:t>
      </w:r>
      <w:r w:rsidR="00EA586C" w:rsidRPr="00EA586C">
        <w:rPr>
          <w:noProof/>
          <w:sz w:val="18"/>
          <w:szCs w:val="24"/>
        </w:rPr>
        <w:t>“Relationship factors affecting the nutritional needs in the UPTD House of Geunaseh Sayang, Banda Aceh.”</w:t>
      </w:r>
      <w:r w:rsidR="009C1485">
        <w:rPr>
          <w:noProof/>
          <w:sz w:val="18"/>
          <w:szCs w:val="24"/>
        </w:rPr>
        <w:t xml:space="preserve"> </w:t>
      </w:r>
      <w:r w:rsidR="009C1485" w:rsidRPr="009C1485">
        <w:rPr>
          <w:i/>
          <w:noProof/>
          <w:sz w:val="18"/>
          <w:szCs w:val="24"/>
        </w:rPr>
        <w:t xml:space="preserve">Idea Nursing Journal </w:t>
      </w:r>
      <w:r w:rsidR="00EA586C" w:rsidRPr="00EA586C">
        <w:rPr>
          <w:noProof/>
          <w:sz w:val="18"/>
          <w:szCs w:val="24"/>
        </w:rPr>
        <w:t xml:space="preserve">. 2012;III(2):51–62. Available from: </w:t>
      </w:r>
      <w:r w:rsidR="00EA586C" w:rsidRPr="00EA586C">
        <w:rPr>
          <w:noProof/>
          <w:sz w:val="18"/>
          <w:szCs w:val="24"/>
        </w:rPr>
        <w:lastRenderedPageBreak/>
        <w:t>https://www.scribd.com/document/395836321/Ibrahim-jurnal-5-pdf</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[11]</w:t>
      </w:r>
      <w:r w:rsidR="00EA586C" w:rsidRPr="00EA586C">
        <w:rPr>
          <w:noProof/>
          <w:sz w:val="18"/>
          <w:szCs w:val="24"/>
        </w:rPr>
        <w:t xml:space="preserve"> </w:t>
      </w:r>
      <w:r w:rsidR="00EA586C" w:rsidRPr="00EA586C">
        <w:rPr>
          <w:noProof/>
          <w:sz w:val="18"/>
          <w:szCs w:val="24"/>
        </w:rPr>
        <w:tab/>
        <w:t xml:space="preserve">Wirakusumah ES. </w:t>
      </w:r>
      <w:r w:rsidR="009C1485">
        <w:rPr>
          <w:noProof/>
          <w:sz w:val="18"/>
          <w:szCs w:val="24"/>
        </w:rPr>
        <w:t xml:space="preserve">; </w:t>
      </w:r>
      <w:r w:rsidR="00EA586C" w:rsidRPr="00EA586C">
        <w:rPr>
          <w:noProof/>
          <w:sz w:val="18"/>
          <w:szCs w:val="24"/>
        </w:rPr>
        <w:t xml:space="preserve">“Healthy Menu for elderly.” 1st ed. Jakarta: </w:t>
      </w:r>
      <w:r w:rsidR="00EA586C" w:rsidRPr="009C1485">
        <w:rPr>
          <w:i/>
          <w:noProof/>
          <w:sz w:val="18"/>
          <w:szCs w:val="24"/>
        </w:rPr>
        <w:t>Puspa Swara</w:t>
      </w:r>
      <w:r w:rsidR="00EA586C" w:rsidRPr="00EA586C">
        <w:rPr>
          <w:noProof/>
          <w:sz w:val="18"/>
          <w:szCs w:val="24"/>
        </w:rPr>
        <w:t xml:space="preserve">; 2002.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[12]</w:t>
      </w:r>
      <w:r w:rsidR="00EA586C" w:rsidRPr="00EA586C">
        <w:rPr>
          <w:noProof/>
          <w:sz w:val="18"/>
          <w:szCs w:val="24"/>
        </w:rPr>
        <w:t xml:space="preserve"> </w:t>
      </w:r>
      <w:r w:rsidR="00EA586C" w:rsidRPr="00EA586C">
        <w:rPr>
          <w:noProof/>
          <w:sz w:val="18"/>
          <w:szCs w:val="24"/>
        </w:rPr>
        <w:tab/>
        <w:t>World Health Organization, Tufts University School of Nutrition and Policy. “Keep fit for life: Meeting the nutritional needs of older persons.” 2002;1–83. Available from: https://www.who.int/nutrition/publications/olderpersons_nutritionalneeds/en/</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[13]</w:t>
      </w:r>
      <w:r w:rsidR="00EA586C" w:rsidRPr="00EA586C">
        <w:rPr>
          <w:noProof/>
          <w:sz w:val="18"/>
          <w:szCs w:val="24"/>
        </w:rPr>
        <w:t xml:space="preserve"> </w:t>
      </w:r>
      <w:r w:rsidR="00EA586C" w:rsidRPr="00EA586C">
        <w:rPr>
          <w:noProof/>
          <w:sz w:val="18"/>
          <w:szCs w:val="24"/>
        </w:rPr>
        <w:tab/>
        <w:t xml:space="preserve">Siburian P. </w:t>
      </w:r>
      <w:r w:rsidR="009C1485">
        <w:rPr>
          <w:noProof/>
          <w:sz w:val="18"/>
          <w:szCs w:val="24"/>
        </w:rPr>
        <w:t xml:space="preserve">; </w:t>
      </w:r>
      <w:r w:rsidR="00EA586C" w:rsidRPr="00EA586C">
        <w:rPr>
          <w:noProof/>
          <w:sz w:val="18"/>
          <w:szCs w:val="24"/>
        </w:rPr>
        <w:t xml:space="preserve">“Fourteen major health problems in the elderly.” </w:t>
      </w:r>
      <w:r w:rsidR="00EA586C" w:rsidRPr="009C1485">
        <w:rPr>
          <w:i/>
          <w:noProof/>
          <w:sz w:val="18"/>
          <w:szCs w:val="24"/>
        </w:rPr>
        <w:t>e- Artikel</w:t>
      </w:r>
      <w:r w:rsidR="00EA586C" w:rsidRPr="00EA586C">
        <w:rPr>
          <w:noProof/>
          <w:sz w:val="18"/>
          <w:szCs w:val="24"/>
        </w:rPr>
        <w:t>. 2020; Available from: https://artikel.sabda.org/empat_belas_masalah_kesehatan_utama_pada_lansia</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[14]</w:t>
      </w:r>
      <w:r w:rsidR="00EA586C" w:rsidRPr="00EA586C">
        <w:rPr>
          <w:noProof/>
          <w:sz w:val="18"/>
          <w:szCs w:val="24"/>
        </w:rPr>
        <w:t xml:space="preserve"> </w:t>
      </w:r>
      <w:r w:rsidR="00EA586C" w:rsidRPr="00EA586C">
        <w:rPr>
          <w:noProof/>
          <w:sz w:val="18"/>
          <w:szCs w:val="24"/>
        </w:rPr>
        <w:tab/>
        <w:t>Hp W, J L, LM K, CY C, YI S.</w:t>
      </w:r>
      <w:r w:rsidR="009C1485">
        <w:rPr>
          <w:noProof/>
          <w:sz w:val="18"/>
          <w:szCs w:val="24"/>
        </w:rPr>
        <w:t>;</w:t>
      </w:r>
      <w:r w:rsidR="00EA586C" w:rsidRPr="00EA586C">
        <w:rPr>
          <w:noProof/>
          <w:sz w:val="18"/>
          <w:szCs w:val="24"/>
        </w:rPr>
        <w:t xml:space="preserve"> “Trajectories of nutritional status and cognitive impairment among older Taiwanese with hip fracture.” </w:t>
      </w:r>
      <w:r w:rsidR="009C1485">
        <w:rPr>
          <w:i/>
          <w:noProof/>
          <w:sz w:val="18"/>
          <w:szCs w:val="24"/>
        </w:rPr>
        <w:t>J Nurt Health Aging</w:t>
      </w:r>
      <w:r w:rsidR="00EA586C" w:rsidRPr="00EA586C">
        <w:rPr>
          <w:noProof/>
          <w:sz w:val="18"/>
          <w:szCs w:val="24"/>
        </w:rPr>
        <w:t>. 2017;21 (1):38–45. Available from: https://www.ncbi.nlm.nih.gov/pubmed/27999848</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[15]</w:t>
      </w:r>
      <w:r w:rsidR="00EA586C" w:rsidRPr="00EA586C">
        <w:rPr>
          <w:noProof/>
          <w:sz w:val="18"/>
          <w:szCs w:val="24"/>
        </w:rPr>
        <w:t xml:space="preserve"> </w:t>
      </w:r>
      <w:r w:rsidR="00EA586C" w:rsidRPr="00EA586C">
        <w:rPr>
          <w:noProof/>
          <w:sz w:val="18"/>
          <w:szCs w:val="24"/>
        </w:rPr>
        <w:tab/>
        <w:t>Chapman DP, Perry GS.</w:t>
      </w:r>
      <w:r w:rsidR="009C1485">
        <w:rPr>
          <w:noProof/>
          <w:sz w:val="18"/>
          <w:szCs w:val="24"/>
        </w:rPr>
        <w:t>;</w:t>
      </w:r>
      <w:r w:rsidR="00EA586C" w:rsidRPr="00EA586C">
        <w:rPr>
          <w:noProof/>
          <w:sz w:val="18"/>
          <w:szCs w:val="24"/>
        </w:rPr>
        <w:t xml:space="preserve"> “Depression as a major component of public health for older adults.” </w:t>
      </w:r>
      <w:r w:rsidR="009C1485">
        <w:rPr>
          <w:i/>
          <w:noProof/>
          <w:sz w:val="18"/>
          <w:szCs w:val="24"/>
        </w:rPr>
        <w:t>Preventing Chronic Disease</w:t>
      </w:r>
      <w:r w:rsidR="00EA586C" w:rsidRPr="00EA586C">
        <w:rPr>
          <w:noProof/>
          <w:sz w:val="18"/>
          <w:szCs w:val="24"/>
        </w:rPr>
        <w:t>. 2008;5(1). Available from: https://www.ncbi.nlm.nih.gov/pmc/articles/PMC2248771/</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[16]</w:t>
      </w:r>
      <w:r w:rsidR="00EA586C" w:rsidRPr="00EA586C">
        <w:rPr>
          <w:noProof/>
          <w:sz w:val="18"/>
          <w:szCs w:val="24"/>
        </w:rPr>
        <w:t xml:space="preserve"> </w:t>
      </w:r>
      <w:r w:rsidR="00EA586C" w:rsidRPr="00EA586C">
        <w:rPr>
          <w:noProof/>
          <w:sz w:val="18"/>
          <w:szCs w:val="24"/>
        </w:rPr>
        <w:tab/>
        <w:t>Gariballa S, Awad A.</w:t>
      </w:r>
      <w:r w:rsidR="009C1485">
        <w:rPr>
          <w:noProof/>
          <w:sz w:val="18"/>
          <w:szCs w:val="24"/>
        </w:rPr>
        <w:t>;</w:t>
      </w:r>
      <w:r w:rsidR="00EA586C" w:rsidRPr="00EA586C">
        <w:rPr>
          <w:noProof/>
          <w:sz w:val="18"/>
          <w:szCs w:val="24"/>
        </w:rPr>
        <w:t xml:space="preserve"> “Associations between low muscle mass, blood-borne nutritional status and mental health in older patients.” </w:t>
      </w:r>
      <w:r w:rsidR="00EA586C" w:rsidRPr="009C1485">
        <w:rPr>
          <w:i/>
          <w:noProof/>
          <w:sz w:val="18"/>
          <w:szCs w:val="24"/>
        </w:rPr>
        <w:t>BMC Nutrition</w:t>
      </w:r>
      <w:r w:rsidR="00EA586C" w:rsidRPr="00EA586C">
        <w:rPr>
          <w:noProof/>
          <w:sz w:val="18"/>
          <w:szCs w:val="24"/>
        </w:rPr>
        <w:t>. 2020;6. Available from: https://www.ncbi.nlm.nih.gov/pmc/articles/PMC7066831/?log$=activity</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[17]</w:t>
      </w:r>
      <w:r w:rsidR="00EA586C" w:rsidRPr="00EA586C">
        <w:rPr>
          <w:noProof/>
          <w:sz w:val="18"/>
          <w:szCs w:val="24"/>
        </w:rPr>
        <w:t xml:space="preserve"> </w:t>
      </w:r>
      <w:r w:rsidR="00EA586C" w:rsidRPr="00EA586C">
        <w:rPr>
          <w:noProof/>
          <w:sz w:val="18"/>
          <w:szCs w:val="24"/>
        </w:rPr>
        <w:tab/>
        <w:t>Gracia M, Ortega AL J, Sobaler L.</w:t>
      </w:r>
      <w:r w:rsidR="009C1485">
        <w:rPr>
          <w:noProof/>
          <w:sz w:val="18"/>
          <w:szCs w:val="24"/>
        </w:rPr>
        <w:t>;</w:t>
      </w:r>
      <w:r w:rsidR="00EA586C" w:rsidRPr="00EA586C">
        <w:rPr>
          <w:noProof/>
          <w:sz w:val="18"/>
          <w:szCs w:val="24"/>
        </w:rPr>
        <w:t xml:space="preserve"> “Nutrition strategies that improve cognitive function.” </w:t>
      </w:r>
      <w:r w:rsidR="00EA586C" w:rsidRPr="009C1485">
        <w:rPr>
          <w:i/>
          <w:noProof/>
          <w:sz w:val="18"/>
          <w:szCs w:val="24"/>
        </w:rPr>
        <w:t>Nutriti</w:t>
      </w:r>
      <w:r w:rsidR="009C1485" w:rsidRPr="009C1485">
        <w:rPr>
          <w:i/>
          <w:noProof/>
          <w:sz w:val="18"/>
          <w:szCs w:val="24"/>
        </w:rPr>
        <w:t>on</w:t>
      </w:r>
      <w:r w:rsidR="00EA586C" w:rsidRPr="009C1485">
        <w:rPr>
          <w:i/>
          <w:noProof/>
          <w:sz w:val="18"/>
          <w:szCs w:val="24"/>
        </w:rPr>
        <w:t xml:space="preserve"> Hospital</w:t>
      </w:r>
      <w:r w:rsidR="00EA586C" w:rsidRPr="00EA586C">
        <w:rPr>
          <w:noProof/>
          <w:sz w:val="18"/>
          <w:szCs w:val="24"/>
        </w:rPr>
        <w:t>. 2018;35:16–9. Available from: https://www.ncbi.nlm.nih.gov/pubmed/30351155</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[18]</w:t>
      </w:r>
      <w:r w:rsidR="00EA586C" w:rsidRPr="00EA586C">
        <w:rPr>
          <w:noProof/>
          <w:sz w:val="18"/>
          <w:szCs w:val="24"/>
        </w:rPr>
        <w:t xml:space="preserve"> </w:t>
      </w:r>
      <w:r w:rsidR="00EA586C" w:rsidRPr="00EA586C">
        <w:rPr>
          <w:noProof/>
          <w:sz w:val="18"/>
          <w:szCs w:val="24"/>
        </w:rPr>
        <w:tab/>
        <w:t>Wang X, Liu M, Li Y, Guo C, Yeh CH.</w:t>
      </w:r>
      <w:r w:rsidR="009C1485">
        <w:rPr>
          <w:noProof/>
          <w:sz w:val="18"/>
          <w:szCs w:val="24"/>
        </w:rPr>
        <w:t>;</w:t>
      </w:r>
      <w:r w:rsidR="00EA586C" w:rsidRPr="00EA586C">
        <w:rPr>
          <w:noProof/>
          <w:sz w:val="18"/>
          <w:szCs w:val="24"/>
        </w:rPr>
        <w:t xml:space="preserve"> “Community canteen services for the rural elderly: determining impacts on general mental health, nutritional status, satisfaction with life, and social capital.” </w:t>
      </w:r>
      <w:r w:rsidR="00EA586C" w:rsidRPr="009C1485">
        <w:rPr>
          <w:i/>
          <w:noProof/>
          <w:sz w:val="18"/>
          <w:szCs w:val="24"/>
        </w:rPr>
        <w:t>BMC Public Health</w:t>
      </w:r>
      <w:r w:rsidR="00EA586C" w:rsidRPr="00EA586C">
        <w:rPr>
          <w:noProof/>
          <w:sz w:val="18"/>
          <w:szCs w:val="24"/>
        </w:rPr>
        <w:t>. 2020;20(1):1–9. Available from: https://www.ncbi.nlm.nih.gov/pmc/articles/PMC7023764/</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[19]</w:t>
      </w:r>
      <w:r w:rsidR="00EA586C" w:rsidRPr="00EA586C">
        <w:rPr>
          <w:noProof/>
          <w:sz w:val="18"/>
          <w:szCs w:val="24"/>
        </w:rPr>
        <w:t xml:space="preserve"> </w:t>
      </w:r>
      <w:r w:rsidR="00EA586C" w:rsidRPr="00EA586C">
        <w:rPr>
          <w:noProof/>
          <w:sz w:val="18"/>
          <w:szCs w:val="24"/>
        </w:rPr>
        <w:tab/>
        <w:t xml:space="preserve">Eric G T, Ronald C P. </w:t>
      </w:r>
      <w:r w:rsidR="009C1485">
        <w:rPr>
          <w:noProof/>
          <w:sz w:val="18"/>
          <w:szCs w:val="24"/>
        </w:rPr>
        <w:t xml:space="preserve">; </w:t>
      </w:r>
      <w:r w:rsidR="00EA586C" w:rsidRPr="00EA586C">
        <w:rPr>
          <w:noProof/>
          <w:sz w:val="18"/>
          <w:szCs w:val="24"/>
        </w:rPr>
        <w:t xml:space="preserve">“Mild cognitive impairment in geriatrics.” </w:t>
      </w:r>
      <w:r w:rsidR="00EA586C" w:rsidRPr="009C1485">
        <w:rPr>
          <w:i/>
          <w:noProof/>
          <w:sz w:val="18"/>
          <w:szCs w:val="24"/>
        </w:rPr>
        <w:t>Clinics in Geriatrie Medicine</w:t>
      </w:r>
      <w:r w:rsidR="00EA586C" w:rsidRPr="00EA586C">
        <w:rPr>
          <w:noProof/>
          <w:sz w:val="18"/>
          <w:szCs w:val="24"/>
        </w:rPr>
        <w:t>. 2018;34(4):563–89. Available from: https://www.geriatric.theclinics.com/article/S0749-0690(18)30998-4/fulltex</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[20]</w:t>
      </w:r>
      <w:r w:rsidR="00EA586C" w:rsidRPr="00EA586C">
        <w:rPr>
          <w:noProof/>
          <w:sz w:val="18"/>
          <w:szCs w:val="24"/>
        </w:rPr>
        <w:t xml:space="preserve"> </w:t>
      </w:r>
      <w:r w:rsidR="00EA586C" w:rsidRPr="00EA586C">
        <w:rPr>
          <w:noProof/>
          <w:sz w:val="18"/>
          <w:szCs w:val="24"/>
        </w:rPr>
        <w:tab/>
        <w:t>Wahid B, Sudarma V.</w:t>
      </w:r>
      <w:r w:rsidR="00654DCD">
        <w:rPr>
          <w:noProof/>
          <w:sz w:val="18"/>
          <w:szCs w:val="24"/>
        </w:rPr>
        <w:t>;</w:t>
      </w:r>
      <w:r w:rsidR="00EA586C" w:rsidRPr="00EA586C">
        <w:rPr>
          <w:noProof/>
          <w:sz w:val="18"/>
          <w:szCs w:val="24"/>
        </w:rPr>
        <w:t xml:space="preserve"> “Relationship of nutritional status and decreased cognitive function in elderly.” </w:t>
      </w:r>
      <w:r w:rsidR="00654DCD">
        <w:rPr>
          <w:i/>
          <w:noProof/>
          <w:sz w:val="18"/>
          <w:szCs w:val="24"/>
        </w:rPr>
        <w:t>Tri Jurnal Tri Sakti</w:t>
      </w:r>
      <w:r w:rsidR="00EA586C" w:rsidRPr="00EA586C">
        <w:rPr>
          <w:noProof/>
          <w:sz w:val="18"/>
          <w:szCs w:val="24"/>
        </w:rPr>
        <w:t>. 2018;(1):331–7. Available from: trijurnal.lemlit.trisakti.ac.id/pakar/article/</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[21]</w:t>
      </w:r>
      <w:r w:rsidR="00EA586C" w:rsidRPr="00EA586C">
        <w:rPr>
          <w:noProof/>
          <w:sz w:val="18"/>
          <w:szCs w:val="24"/>
        </w:rPr>
        <w:t xml:space="preserve"> </w:t>
      </w:r>
      <w:r w:rsidR="00EA586C" w:rsidRPr="00EA586C">
        <w:rPr>
          <w:noProof/>
          <w:sz w:val="18"/>
          <w:szCs w:val="24"/>
        </w:rPr>
        <w:tab/>
        <w:t>Alfyanita A, Dinda Martini R, Kadri H.</w:t>
      </w:r>
      <w:r w:rsidR="00654DCD">
        <w:rPr>
          <w:noProof/>
          <w:sz w:val="18"/>
          <w:szCs w:val="24"/>
        </w:rPr>
        <w:t>;</w:t>
      </w:r>
      <w:r w:rsidR="00EA586C" w:rsidRPr="00EA586C">
        <w:rPr>
          <w:noProof/>
          <w:sz w:val="18"/>
          <w:szCs w:val="24"/>
        </w:rPr>
        <w:t xml:space="preserve"> “Relationship of self-reliance in conducting daily life activities and nutritional status at the elderly in the social orphanage Tresna Werdha Sabai Nan Aluih Sicincin.”</w:t>
      </w:r>
      <w:r w:rsidR="00654DCD" w:rsidRPr="00654DCD">
        <w:rPr>
          <w:i/>
          <w:noProof/>
          <w:sz w:val="18"/>
          <w:szCs w:val="24"/>
        </w:rPr>
        <w:t xml:space="preserve"> Health journal Andala</w:t>
      </w:r>
      <w:r w:rsidR="00654DCD">
        <w:rPr>
          <w:noProof/>
          <w:sz w:val="18"/>
          <w:szCs w:val="24"/>
        </w:rPr>
        <w:t>s</w:t>
      </w:r>
      <w:r w:rsidR="00EA586C" w:rsidRPr="00EA586C">
        <w:rPr>
          <w:noProof/>
          <w:sz w:val="18"/>
          <w:szCs w:val="24"/>
        </w:rPr>
        <w:t>. 2016;5(1):201–8. Available from: jurnal.fk.unand.ac.id/index.php/jka/article/download/469/397</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[22]</w:t>
      </w:r>
      <w:r w:rsidR="00EA586C" w:rsidRPr="00EA586C">
        <w:rPr>
          <w:noProof/>
          <w:sz w:val="18"/>
          <w:szCs w:val="24"/>
        </w:rPr>
        <w:t xml:space="preserve"> </w:t>
      </w:r>
      <w:r w:rsidR="00EA586C" w:rsidRPr="00EA586C">
        <w:rPr>
          <w:noProof/>
          <w:sz w:val="18"/>
          <w:szCs w:val="24"/>
        </w:rPr>
        <w:tab/>
        <w:t>Indonesia PGM.</w:t>
      </w:r>
      <w:r w:rsidR="00654DCD">
        <w:rPr>
          <w:noProof/>
          <w:sz w:val="18"/>
          <w:szCs w:val="24"/>
        </w:rPr>
        <w:t>;</w:t>
      </w:r>
      <w:r w:rsidR="00EA586C" w:rsidRPr="00EA586C">
        <w:rPr>
          <w:noProof/>
          <w:sz w:val="18"/>
          <w:szCs w:val="24"/>
        </w:rPr>
        <w:t xml:space="preserve"> “Nutrition management consensus in elderly people.”</w:t>
      </w:r>
      <w:r w:rsidR="00654DCD">
        <w:rPr>
          <w:noProof/>
          <w:sz w:val="18"/>
          <w:szCs w:val="24"/>
        </w:rPr>
        <w:t xml:space="preserve"> 1st ed. Jakarta: General Manager</w:t>
      </w:r>
      <w:r w:rsidR="00EA586C" w:rsidRPr="00EA586C">
        <w:rPr>
          <w:noProof/>
          <w:sz w:val="18"/>
          <w:szCs w:val="24"/>
        </w:rPr>
        <w:t xml:space="preserve"> PREGEMI; 2012. </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[23]</w:t>
      </w:r>
      <w:r w:rsidR="00EA586C" w:rsidRPr="00EA586C">
        <w:rPr>
          <w:noProof/>
          <w:sz w:val="18"/>
          <w:szCs w:val="24"/>
        </w:rPr>
        <w:t xml:space="preserve"> </w:t>
      </w:r>
      <w:r w:rsidR="00EA586C" w:rsidRPr="00EA586C">
        <w:rPr>
          <w:noProof/>
          <w:sz w:val="18"/>
          <w:szCs w:val="24"/>
        </w:rPr>
        <w:tab/>
        <w:t xml:space="preserve">Listriana N. </w:t>
      </w:r>
      <w:r w:rsidR="00654DCD">
        <w:rPr>
          <w:noProof/>
          <w:sz w:val="18"/>
          <w:szCs w:val="24"/>
        </w:rPr>
        <w:t xml:space="preserve">; </w:t>
      </w:r>
      <w:r w:rsidR="00EA586C" w:rsidRPr="00EA586C">
        <w:rPr>
          <w:noProof/>
          <w:sz w:val="18"/>
          <w:szCs w:val="24"/>
        </w:rPr>
        <w:t>“Relationship of nutritional status with the ability level of activity of daily living (ADL) in the elderly in Paremono Hamlet, Magelang Regency”</w:t>
      </w:r>
      <w:r w:rsidR="00654DCD">
        <w:rPr>
          <w:noProof/>
          <w:sz w:val="18"/>
          <w:szCs w:val="24"/>
        </w:rPr>
        <w:t xml:space="preserve"> </w:t>
      </w:r>
      <w:r w:rsidR="00654DCD" w:rsidRPr="00654DCD">
        <w:rPr>
          <w:i/>
          <w:noProof/>
          <w:sz w:val="18"/>
          <w:szCs w:val="24"/>
        </w:rPr>
        <w:t>Skripsi</w:t>
      </w:r>
      <w:r w:rsidR="00654DCD">
        <w:rPr>
          <w:noProof/>
          <w:sz w:val="18"/>
          <w:szCs w:val="24"/>
        </w:rPr>
        <w:t xml:space="preserve"> </w:t>
      </w:r>
      <w:r w:rsidR="00EA586C" w:rsidRPr="00EA586C">
        <w:rPr>
          <w:noProof/>
          <w:sz w:val="18"/>
          <w:szCs w:val="24"/>
        </w:rPr>
        <w:t>: STIKES ’Aisyyah Jogjakarta; 2010. Available from: http://digilib.unisayogya.ac.id/1775/1/NASPUB.pdf</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[24]</w:t>
      </w:r>
      <w:r w:rsidR="00EA586C" w:rsidRPr="00EA586C">
        <w:rPr>
          <w:noProof/>
          <w:sz w:val="18"/>
          <w:szCs w:val="24"/>
        </w:rPr>
        <w:t xml:space="preserve"> </w:t>
      </w:r>
      <w:r w:rsidR="00EA586C" w:rsidRPr="00EA586C">
        <w:rPr>
          <w:noProof/>
          <w:sz w:val="18"/>
          <w:szCs w:val="24"/>
        </w:rPr>
        <w:tab/>
        <w:t>Soini H, Routasalo P, Lagström H.</w:t>
      </w:r>
      <w:r w:rsidR="00654DCD">
        <w:rPr>
          <w:noProof/>
          <w:sz w:val="18"/>
          <w:szCs w:val="24"/>
        </w:rPr>
        <w:t>;</w:t>
      </w:r>
      <w:r w:rsidR="00EA586C" w:rsidRPr="00EA586C">
        <w:rPr>
          <w:noProof/>
          <w:sz w:val="18"/>
          <w:szCs w:val="24"/>
        </w:rPr>
        <w:t xml:space="preserve"> “Nutritional status in cognitively intact older people receiving home care services - A pilot study.</w:t>
      </w:r>
      <w:r w:rsidR="00654DCD">
        <w:rPr>
          <w:noProof/>
          <w:sz w:val="18"/>
          <w:szCs w:val="24"/>
        </w:rPr>
        <w:t xml:space="preserve"> </w:t>
      </w:r>
      <w:r w:rsidR="00EA586C" w:rsidRPr="00EA586C">
        <w:rPr>
          <w:noProof/>
          <w:sz w:val="18"/>
          <w:szCs w:val="24"/>
        </w:rPr>
        <w:t xml:space="preserve">” </w:t>
      </w:r>
      <w:r w:rsidR="00EA586C" w:rsidRPr="00654DCD">
        <w:rPr>
          <w:i/>
          <w:noProof/>
          <w:sz w:val="18"/>
          <w:szCs w:val="24"/>
        </w:rPr>
        <w:t>Journal of Nutrition, Health and Aging</w:t>
      </w:r>
      <w:r w:rsidR="00654DCD">
        <w:rPr>
          <w:noProof/>
          <w:sz w:val="18"/>
          <w:szCs w:val="24"/>
        </w:rPr>
        <w:t xml:space="preserve"> </w:t>
      </w:r>
      <w:r w:rsidR="00EA586C" w:rsidRPr="00EA586C">
        <w:rPr>
          <w:noProof/>
          <w:sz w:val="18"/>
          <w:szCs w:val="24"/>
        </w:rPr>
        <w:t>. 2005;9(4):249–53. Available from: www.mna-elderly.com/publications/198.pdf</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[25]</w:t>
      </w:r>
      <w:r w:rsidR="00EA586C" w:rsidRPr="00EA586C">
        <w:rPr>
          <w:noProof/>
          <w:sz w:val="18"/>
          <w:szCs w:val="24"/>
        </w:rPr>
        <w:t xml:space="preserve"> </w:t>
      </w:r>
      <w:r w:rsidR="00EA586C" w:rsidRPr="00EA586C">
        <w:rPr>
          <w:noProof/>
          <w:sz w:val="18"/>
          <w:szCs w:val="24"/>
        </w:rPr>
        <w:tab/>
        <w:t>Lestari W, Weta IW.</w:t>
      </w:r>
      <w:r w:rsidR="00654DCD">
        <w:rPr>
          <w:noProof/>
          <w:sz w:val="18"/>
          <w:szCs w:val="24"/>
        </w:rPr>
        <w:t>;</w:t>
      </w:r>
      <w:r w:rsidR="00EA586C" w:rsidRPr="00EA586C">
        <w:rPr>
          <w:noProof/>
          <w:sz w:val="18"/>
          <w:szCs w:val="24"/>
        </w:rPr>
        <w:t xml:space="preserve"> “Elderly nutritional Status based on knowledge and physical activity, in the working area of Sukawati 1 Puskesmas, Gianya, Bali.” </w:t>
      </w:r>
      <w:r w:rsidR="00654DCD" w:rsidRPr="00654DCD">
        <w:rPr>
          <w:i/>
          <w:noProof/>
          <w:sz w:val="18"/>
          <w:szCs w:val="24"/>
        </w:rPr>
        <w:t xml:space="preserve">Journal </w:t>
      </w:r>
      <w:r w:rsidR="00EA586C" w:rsidRPr="00654DCD">
        <w:rPr>
          <w:i/>
          <w:noProof/>
          <w:sz w:val="18"/>
          <w:szCs w:val="24"/>
        </w:rPr>
        <w:t>Kedokte</w:t>
      </w:r>
      <w:r w:rsidR="00654DCD" w:rsidRPr="00654DCD">
        <w:rPr>
          <w:i/>
          <w:noProof/>
          <w:sz w:val="18"/>
          <w:szCs w:val="24"/>
        </w:rPr>
        <w:t>ran dan Kesehatan</w:t>
      </w:r>
      <w:r w:rsidR="00654DCD">
        <w:rPr>
          <w:noProof/>
          <w:sz w:val="18"/>
          <w:szCs w:val="24"/>
        </w:rPr>
        <w:t xml:space="preserve">, </w:t>
      </w:r>
      <w:r w:rsidR="00EA586C" w:rsidRPr="00EA586C">
        <w:rPr>
          <w:noProof/>
          <w:sz w:val="18"/>
          <w:szCs w:val="24"/>
        </w:rPr>
        <w:t xml:space="preserve">Sri Wijaya </w:t>
      </w:r>
      <w:r w:rsidR="00654DCD">
        <w:rPr>
          <w:noProof/>
          <w:sz w:val="18"/>
          <w:szCs w:val="24"/>
        </w:rPr>
        <w:t>University</w:t>
      </w:r>
      <w:r w:rsidR="00EA586C" w:rsidRPr="00EA586C">
        <w:rPr>
          <w:noProof/>
          <w:sz w:val="18"/>
          <w:szCs w:val="24"/>
        </w:rPr>
        <w:t>. 2017;4(2):56–63. Available from: ejournal.unsri.ac.id/index.php/jkk/article/view%0A</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[26]</w:t>
      </w:r>
      <w:r w:rsidR="00EA586C" w:rsidRPr="00EA586C">
        <w:rPr>
          <w:noProof/>
          <w:sz w:val="18"/>
          <w:szCs w:val="24"/>
        </w:rPr>
        <w:t xml:space="preserve"> </w:t>
      </w:r>
      <w:r w:rsidR="00EA586C" w:rsidRPr="00EA586C">
        <w:rPr>
          <w:noProof/>
          <w:sz w:val="18"/>
          <w:szCs w:val="24"/>
        </w:rPr>
        <w:tab/>
        <w:t>Schrader E, Baumgartel C G.</w:t>
      </w:r>
      <w:r w:rsidR="00654DCD">
        <w:rPr>
          <w:noProof/>
          <w:sz w:val="18"/>
          <w:szCs w:val="24"/>
        </w:rPr>
        <w:t xml:space="preserve">; </w:t>
      </w:r>
      <w:r w:rsidR="00EA586C" w:rsidRPr="00EA586C">
        <w:rPr>
          <w:noProof/>
          <w:sz w:val="18"/>
          <w:szCs w:val="24"/>
        </w:rPr>
        <w:t xml:space="preserve"> “Nutritional status according to Mini Nutritional Assessment is related to functional status in geriatric patients independent of health status,.” </w:t>
      </w:r>
      <w:r w:rsidR="00EA586C" w:rsidRPr="00654DCD">
        <w:rPr>
          <w:i/>
          <w:noProof/>
          <w:sz w:val="18"/>
          <w:szCs w:val="24"/>
        </w:rPr>
        <w:t>J Nurt Health Aging</w:t>
      </w:r>
      <w:r w:rsidR="00654DCD">
        <w:rPr>
          <w:noProof/>
          <w:sz w:val="18"/>
          <w:szCs w:val="24"/>
        </w:rPr>
        <w:t xml:space="preserve"> </w:t>
      </w:r>
      <w:r w:rsidR="00EA586C" w:rsidRPr="00EA586C">
        <w:rPr>
          <w:noProof/>
          <w:sz w:val="18"/>
          <w:szCs w:val="24"/>
        </w:rPr>
        <w:t>. 2014;18 (3):257–63. Available from: https://www.ncbi.nlm.nih.gov/pubmed/24626752</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[27]</w:t>
      </w:r>
      <w:r w:rsidR="00EA586C" w:rsidRPr="00EA586C">
        <w:rPr>
          <w:noProof/>
          <w:sz w:val="18"/>
          <w:szCs w:val="24"/>
        </w:rPr>
        <w:t xml:space="preserve"> </w:t>
      </w:r>
      <w:r w:rsidR="00EA586C" w:rsidRPr="00EA586C">
        <w:rPr>
          <w:noProof/>
          <w:sz w:val="18"/>
          <w:szCs w:val="24"/>
        </w:rPr>
        <w:tab/>
        <w:t xml:space="preserve">Casanova L, Manas R, Loren Aznar, Al E. </w:t>
      </w:r>
      <w:r w:rsidR="00654DCD">
        <w:rPr>
          <w:noProof/>
          <w:sz w:val="18"/>
          <w:szCs w:val="24"/>
        </w:rPr>
        <w:t xml:space="preserve">; </w:t>
      </w:r>
      <w:r w:rsidR="00EA586C" w:rsidRPr="00EA586C">
        <w:rPr>
          <w:noProof/>
          <w:sz w:val="18"/>
          <w:szCs w:val="24"/>
        </w:rPr>
        <w:t>“Physical activity and nutritional and psychosocial status in non-dependent elderly,.”</w:t>
      </w:r>
      <w:r w:rsidR="00654DCD">
        <w:rPr>
          <w:noProof/>
          <w:sz w:val="18"/>
          <w:szCs w:val="24"/>
        </w:rPr>
        <w:t xml:space="preserve"> </w:t>
      </w:r>
      <w:r w:rsidR="00654DCD" w:rsidRPr="00654DCD">
        <w:rPr>
          <w:i/>
          <w:noProof/>
          <w:sz w:val="18"/>
          <w:szCs w:val="24"/>
        </w:rPr>
        <w:t>Semergen</w:t>
      </w:r>
      <w:r w:rsidR="00EA586C" w:rsidRPr="00EA586C">
        <w:rPr>
          <w:noProof/>
          <w:sz w:val="18"/>
          <w:szCs w:val="24"/>
        </w:rPr>
        <w:t>. 2020;S1138-3593. Available from: https://www.ncbi.nlm.nih.gov/pubmed/31902675</w:t>
      </w:r>
    </w:p>
    <w:p w:rsidR="00EA586C" w:rsidRPr="00EA586C" w:rsidRDefault="00F67A4C" w:rsidP="009C1485">
      <w:pPr>
        <w:widowControl w:val="0"/>
        <w:autoSpaceDE w:val="0"/>
        <w:autoSpaceDN w:val="0"/>
        <w:adjustRightInd w:val="0"/>
        <w:ind w:left="426" w:hanging="426"/>
        <w:jc w:val="both"/>
        <w:rPr>
          <w:noProof/>
          <w:sz w:val="18"/>
          <w:szCs w:val="24"/>
        </w:rPr>
      </w:pPr>
      <w:r>
        <w:rPr>
          <w:noProof/>
          <w:sz w:val="18"/>
          <w:szCs w:val="24"/>
        </w:rPr>
        <w:t>[28]</w:t>
      </w:r>
      <w:r w:rsidR="00654DCD">
        <w:rPr>
          <w:noProof/>
          <w:sz w:val="18"/>
          <w:szCs w:val="24"/>
        </w:rPr>
        <w:t xml:space="preserve"> </w:t>
      </w:r>
      <w:r w:rsidR="00654DCD">
        <w:rPr>
          <w:noProof/>
          <w:sz w:val="18"/>
          <w:szCs w:val="24"/>
        </w:rPr>
        <w:tab/>
      </w:r>
      <w:r w:rsidR="00654DCD" w:rsidRPr="00654DCD">
        <w:rPr>
          <w:noProof/>
          <w:sz w:val="18"/>
          <w:szCs w:val="24"/>
        </w:rPr>
        <w:t>Derektorate of public health promotion and community empowerment</w:t>
      </w:r>
      <w:r w:rsidR="00EA586C" w:rsidRPr="00EA586C">
        <w:rPr>
          <w:noProof/>
          <w:sz w:val="18"/>
          <w:szCs w:val="24"/>
        </w:rPr>
        <w:t xml:space="preserve">. </w:t>
      </w:r>
      <w:r w:rsidR="00654DCD">
        <w:rPr>
          <w:noProof/>
          <w:sz w:val="18"/>
          <w:szCs w:val="24"/>
        </w:rPr>
        <w:t>;</w:t>
      </w:r>
      <w:r w:rsidR="00EA586C" w:rsidRPr="00EA586C">
        <w:rPr>
          <w:noProof/>
          <w:sz w:val="18"/>
          <w:szCs w:val="24"/>
        </w:rPr>
        <w:t>“Physical activity for the elderly,.”</w:t>
      </w:r>
      <w:r w:rsidR="00654DCD" w:rsidRPr="00654DCD">
        <w:t xml:space="preserve"> </w:t>
      </w:r>
      <w:r w:rsidR="00654DCD" w:rsidRPr="00654DCD">
        <w:rPr>
          <w:i/>
          <w:noProof/>
          <w:sz w:val="18"/>
          <w:szCs w:val="24"/>
        </w:rPr>
        <w:t>Ministry of Health,</w:t>
      </w:r>
      <w:r w:rsidR="00EA586C" w:rsidRPr="00EA586C">
        <w:rPr>
          <w:noProof/>
          <w:sz w:val="18"/>
          <w:szCs w:val="24"/>
        </w:rPr>
        <w:t xml:space="preserve"> 2018; Available from: http://promkes.kemkes.go.id/?p=8816</w:t>
      </w:r>
    </w:p>
    <w:p w:rsidR="00EA586C" w:rsidRPr="00EA586C" w:rsidRDefault="00F67A4C" w:rsidP="009C1485">
      <w:pPr>
        <w:widowControl w:val="0"/>
        <w:autoSpaceDE w:val="0"/>
        <w:autoSpaceDN w:val="0"/>
        <w:adjustRightInd w:val="0"/>
        <w:ind w:left="426" w:hanging="426"/>
        <w:jc w:val="both"/>
        <w:rPr>
          <w:noProof/>
          <w:sz w:val="18"/>
        </w:rPr>
      </w:pPr>
      <w:r>
        <w:rPr>
          <w:noProof/>
          <w:sz w:val="18"/>
          <w:szCs w:val="24"/>
        </w:rPr>
        <w:t>[29]</w:t>
      </w:r>
      <w:r w:rsidR="00EA586C" w:rsidRPr="00EA586C">
        <w:rPr>
          <w:noProof/>
          <w:sz w:val="18"/>
          <w:szCs w:val="24"/>
        </w:rPr>
        <w:t xml:space="preserve"> </w:t>
      </w:r>
      <w:r w:rsidR="00EA586C" w:rsidRPr="00EA586C">
        <w:rPr>
          <w:noProof/>
          <w:sz w:val="18"/>
          <w:szCs w:val="24"/>
        </w:rPr>
        <w:tab/>
        <w:t>Escourrow E, Durrieu F, Chicoulea B.</w:t>
      </w:r>
      <w:r>
        <w:rPr>
          <w:noProof/>
          <w:sz w:val="18"/>
          <w:szCs w:val="24"/>
        </w:rPr>
        <w:t>;</w:t>
      </w:r>
      <w:r w:rsidR="00EA586C" w:rsidRPr="00EA586C">
        <w:rPr>
          <w:noProof/>
          <w:sz w:val="18"/>
          <w:szCs w:val="24"/>
        </w:rPr>
        <w:t xml:space="preserve"> “Cognitive, functional, physical, and nutritional status of the oldest old encountered in primary care: a systematic review.”</w:t>
      </w:r>
      <w:r w:rsidR="00EA586C" w:rsidRPr="00F67A4C">
        <w:rPr>
          <w:i/>
          <w:noProof/>
          <w:sz w:val="18"/>
          <w:szCs w:val="24"/>
        </w:rPr>
        <w:t xml:space="preserve"> BMC Family Practice</w:t>
      </w:r>
      <w:r w:rsidR="00EA586C" w:rsidRPr="00EA586C">
        <w:rPr>
          <w:noProof/>
          <w:sz w:val="18"/>
          <w:szCs w:val="24"/>
        </w:rPr>
        <w:t>. 2020;21. Available from: https://www.ncbi.nlm.nih.gov/pmc/articles/PMC7099824/</w:t>
      </w:r>
    </w:p>
    <w:p w:rsidR="00CC6173" w:rsidRDefault="009D32D1" w:rsidP="009C1485">
      <w:pPr>
        <w:widowControl w:val="0"/>
        <w:autoSpaceDE w:val="0"/>
        <w:autoSpaceDN w:val="0"/>
        <w:adjustRightInd w:val="0"/>
        <w:ind w:left="426" w:hanging="426"/>
        <w:jc w:val="both"/>
        <w:rPr>
          <w:sz w:val="18"/>
          <w:szCs w:val="18"/>
        </w:rPr>
      </w:pPr>
      <w:r>
        <w:rPr>
          <w:sz w:val="18"/>
          <w:szCs w:val="18"/>
        </w:rPr>
        <w:fldChar w:fldCharType="end"/>
      </w:r>
    </w:p>
    <w:p w:rsidR="00546ADF" w:rsidRPr="008C4BC1" w:rsidRDefault="00546ADF" w:rsidP="009C1485">
      <w:pPr>
        <w:tabs>
          <w:tab w:val="left" w:pos="426"/>
        </w:tabs>
        <w:ind w:left="426" w:hanging="426"/>
        <w:jc w:val="both"/>
        <w:rPr>
          <w:noProof/>
          <w:sz w:val="18"/>
          <w:szCs w:val="18"/>
        </w:rPr>
      </w:pPr>
    </w:p>
    <w:p w:rsidR="006612DF" w:rsidRDefault="006612DF" w:rsidP="0093281D">
      <w:pPr>
        <w:tabs>
          <w:tab w:val="left" w:pos="426"/>
        </w:tabs>
        <w:ind w:left="426"/>
        <w:jc w:val="both"/>
        <w:rPr>
          <w:noProof/>
          <w:sz w:val="18"/>
          <w:szCs w:val="18"/>
        </w:rPr>
      </w:pPr>
    </w:p>
    <w:p w:rsidR="006612DF" w:rsidRDefault="006612DF" w:rsidP="0093281D">
      <w:pPr>
        <w:tabs>
          <w:tab w:val="left" w:pos="426"/>
        </w:tabs>
        <w:ind w:left="426"/>
        <w:jc w:val="both"/>
        <w:rPr>
          <w:noProof/>
          <w:sz w:val="18"/>
          <w:szCs w:val="18"/>
        </w:rPr>
      </w:pPr>
    </w:p>
    <w:p w:rsidR="006612DF" w:rsidRDefault="006612DF" w:rsidP="0093281D">
      <w:pPr>
        <w:tabs>
          <w:tab w:val="left" w:pos="426"/>
        </w:tabs>
        <w:ind w:left="426"/>
        <w:jc w:val="both"/>
        <w:rPr>
          <w:noProof/>
          <w:sz w:val="18"/>
          <w:szCs w:val="18"/>
        </w:rPr>
      </w:pPr>
    </w:p>
    <w:p w:rsidR="006612DF" w:rsidRPr="001B0927" w:rsidRDefault="006612DF" w:rsidP="001B0927">
      <w:pPr>
        <w:tabs>
          <w:tab w:val="left" w:pos="426"/>
        </w:tabs>
        <w:ind w:left="426"/>
        <w:jc w:val="both"/>
        <w:rPr>
          <w:noProof/>
          <w:sz w:val="18"/>
          <w:szCs w:val="18"/>
        </w:rPr>
      </w:pPr>
    </w:p>
    <w:p w:rsidR="00231A19" w:rsidRDefault="00231A19" w:rsidP="00231A19">
      <w:pPr>
        <w:jc w:val="both"/>
        <w:rPr>
          <w:color w:val="000000"/>
          <w:sz w:val="18"/>
          <w:szCs w:val="18"/>
        </w:rPr>
      </w:pPr>
    </w:p>
    <w:p w:rsidR="003A2FBC" w:rsidRDefault="003A2FBC" w:rsidP="00231A19">
      <w:pPr>
        <w:jc w:val="both"/>
        <w:rPr>
          <w:color w:val="000000"/>
          <w:sz w:val="18"/>
          <w:szCs w:val="18"/>
        </w:rPr>
      </w:pPr>
    </w:p>
    <w:p w:rsidR="003A2FBC" w:rsidRDefault="003A2FBC" w:rsidP="00231A19">
      <w:pPr>
        <w:jc w:val="both"/>
        <w:rPr>
          <w:color w:val="000000"/>
          <w:sz w:val="18"/>
          <w:szCs w:val="18"/>
        </w:rPr>
      </w:pPr>
    </w:p>
    <w:p w:rsidR="005D021B" w:rsidRDefault="005D021B" w:rsidP="00231A19">
      <w:pPr>
        <w:jc w:val="both"/>
        <w:rPr>
          <w:color w:val="000000"/>
          <w:sz w:val="18"/>
          <w:szCs w:val="18"/>
        </w:rPr>
      </w:pPr>
    </w:p>
    <w:p w:rsidR="005D021B" w:rsidRDefault="005D021B" w:rsidP="00231A19">
      <w:pPr>
        <w:jc w:val="both"/>
        <w:rPr>
          <w:color w:val="000000"/>
          <w:sz w:val="18"/>
          <w:szCs w:val="18"/>
        </w:rPr>
      </w:pPr>
    </w:p>
    <w:p w:rsidR="005D021B" w:rsidRDefault="005D021B" w:rsidP="00231A19">
      <w:pPr>
        <w:jc w:val="both"/>
        <w:rPr>
          <w:color w:val="000000"/>
          <w:sz w:val="18"/>
          <w:szCs w:val="18"/>
        </w:rPr>
      </w:pPr>
    </w:p>
    <w:p w:rsidR="005D021B" w:rsidRDefault="005D021B" w:rsidP="00231A19">
      <w:pPr>
        <w:jc w:val="both"/>
        <w:rPr>
          <w:color w:val="000000"/>
          <w:sz w:val="18"/>
          <w:szCs w:val="18"/>
        </w:rPr>
      </w:pPr>
    </w:p>
    <w:p w:rsidR="003A2FBC" w:rsidRDefault="003A2FBC" w:rsidP="00231A19">
      <w:pPr>
        <w:jc w:val="both"/>
        <w:rPr>
          <w:color w:val="000000"/>
          <w:sz w:val="18"/>
          <w:szCs w:val="18"/>
        </w:rPr>
      </w:pPr>
    </w:p>
    <w:p w:rsidR="003A2FBC" w:rsidRDefault="003A2FBC" w:rsidP="00231A19">
      <w:pPr>
        <w:jc w:val="both"/>
        <w:rPr>
          <w:color w:val="000000"/>
          <w:sz w:val="18"/>
          <w:szCs w:val="18"/>
        </w:rPr>
      </w:pPr>
    </w:p>
    <w:p w:rsidR="003A2FBC" w:rsidRDefault="003A2FBC" w:rsidP="00231A19">
      <w:pPr>
        <w:jc w:val="both"/>
        <w:rPr>
          <w:color w:val="000000"/>
          <w:sz w:val="18"/>
          <w:szCs w:val="18"/>
        </w:rPr>
      </w:pPr>
    </w:p>
    <w:p w:rsidR="00231A19" w:rsidRDefault="00F33C08" w:rsidP="00231A19">
      <w:pPr>
        <w:rPr>
          <w:b/>
          <w:bCs/>
        </w:rPr>
      </w:pPr>
      <w:r>
        <w:rPr>
          <w:rStyle w:val="apple-style-span"/>
          <w:b/>
          <w:color w:val="000000"/>
          <w:lang w:val="pt-BR"/>
        </w:rPr>
        <w:lastRenderedPageBreak/>
        <w:t xml:space="preserve">BIIOGRAPHY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BB0A41" w:rsidP="00867772">
            <w:pPr>
              <w:jc w:val="center"/>
              <w:rPr>
                <w:color w:val="000000"/>
                <w:lang w:val="pt-BR"/>
              </w:rPr>
            </w:pPr>
            <w:r w:rsidRPr="00BB0A41">
              <w:rPr>
                <w:noProof/>
                <w:color w:val="000000"/>
              </w:rPr>
              <w:drawing>
                <wp:inline distT="0" distB="0" distL="0" distR="0">
                  <wp:extent cx="755142" cy="875528"/>
                  <wp:effectExtent l="19050" t="0" r="6858" b="0"/>
                  <wp:docPr id="2" name="Picture 1" descr="G:\Data 1\Foto_Istri\Bu I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 1\Foto_Istri\Bu Isna.jpg"/>
                          <pic:cNvPicPr>
                            <a:picLocks noChangeAspect="1" noChangeArrowheads="1"/>
                          </pic:cNvPicPr>
                        </pic:nvPicPr>
                        <pic:blipFill>
                          <a:blip r:embed="rId9" cstate="print"/>
                          <a:srcRect/>
                          <a:stretch>
                            <a:fillRect/>
                          </a:stretch>
                        </pic:blipFill>
                        <pic:spPr bwMode="auto">
                          <a:xfrm>
                            <a:off x="0" y="0"/>
                            <a:ext cx="760567" cy="881818"/>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3F5B72" w:rsidRPr="003F5B72" w:rsidRDefault="003F5B72" w:rsidP="003F5B72">
            <w:pPr>
              <w:jc w:val="both"/>
              <w:rPr>
                <w:color w:val="000000"/>
                <w:sz w:val="18"/>
                <w:szCs w:val="18"/>
              </w:rPr>
            </w:pPr>
            <w:r w:rsidRPr="003F5B72">
              <w:rPr>
                <w:color w:val="000000"/>
                <w:sz w:val="18"/>
                <w:szCs w:val="18"/>
              </w:rPr>
              <w:t>Isnani Nurhayati was born in Sukoharjo on September 11, 1977. Graduated SMA year 1996 continuing academic career in the nursing DIII the PKU Muhammadiyah Surakarta graduated in 1999, S1 of Public Health at the University of Muhammadiyah Semarang graduated in 2002 and S2 Mast</w:t>
            </w:r>
            <w:r w:rsidR="005D19AF">
              <w:rPr>
                <w:color w:val="000000"/>
                <w:sz w:val="18"/>
                <w:szCs w:val="18"/>
              </w:rPr>
              <w:t>er of Health University Sebelas Maret</w:t>
            </w:r>
            <w:r w:rsidRPr="003F5B72">
              <w:rPr>
                <w:color w:val="000000"/>
                <w:sz w:val="18"/>
                <w:szCs w:val="18"/>
              </w:rPr>
              <w:t xml:space="preserve"> graduated in 2013.</w:t>
            </w:r>
          </w:p>
          <w:p w:rsidR="003F5B72" w:rsidRPr="003F5B72" w:rsidRDefault="003F5B72" w:rsidP="003F5B72">
            <w:pPr>
              <w:jc w:val="both"/>
              <w:rPr>
                <w:color w:val="000000"/>
                <w:sz w:val="18"/>
                <w:szCs w:val="18"/>
              </w:rPr>
            </w:pPr>
            <w:r w:rsidRPr="003F5B72">
              <w:rPr>
                <w:color w:val="000000"/>
                <w:sz w:val="18"/>
                <w:szCs w:val="18"/>
              </w:rPr>
              <w:t xml:space="preserve">       The books that have been written by the authors are: Guide to the practice of human basic needs laboratory year 2017 and 2018, basic Nursing and Pharmacology year 2019, School of Family and gerontic nursing practice in 2017-2019 and Community Nursing Practice guide in 2016. IP Science Book of Nutrition year 2018.</w:t>
            </w:r>
          </w:p>
          <w:p w:rsidR="00A47AD5" w:rsidRPr="003F5B72" w:rsidRDefault="003F5B72" w:rsidP="003F5B72">
            <w:pPr>
              <w:jc w:val="both"/>
              <w:rPr>
                <w:color w:val="000000"/>
                <w:sz w:val="18"/>
                <w:szCs w:val="18"/>
              </w:rPr>
            </w:pPr>
            <w:r w:rsidRPr="003F5B72">
              <w:rPr>
                <w:color w:val="000000"/>
                <w:sz w:val="18"/>
                <w:szCs w:val="18"/>
              </w:rPr>
              <w:t>The research was addressed since 2014-2019. National Journals not accredited include: The activity of learning with the skills of the laboratory practice of human efficacy. Assessment of Community behaviour in improving its environmental health in Sragen District; Community Knowledge level Overview of pre-marital pregnancy risk; Increased motivation Foot Care Behaviour through educational techniques in family DM sufferers; Knowledge level Posyandu Kader on diphtheria in Bakulan, Cepogo, Boyolali; Marriage age study of AsuhAnak patterns in Gedongan, Sragen and Knowledge research Flour Albus on young women in Cabena Kunthi Boyolali. National accredited journals include: Analysis of factors related to toddler nutrition Status in Jetis village Karangpung Sragen, identification of toddler development with KPSP method of nutritional Status of toddlers in Boyolali. Family knowledge level in nutrition in elderly</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BB0A41" w:rsidP="00A47AD5">
            <w:pPr>
              <w:jc w:val="center"/>
              <w:rPr>
                <w:color w:val="000000"/>
                <w:lang w:val="pt-BR"/>
              </w:rPr>
            </w:pPr>
            <w:r w:rsidRPr="00BB0A41">
              <w:rPr>
                <w:noProof/>
                <w:color w:val="000000"/>
              </w:rPr>
              <w:drawing>
                <wp:inline distT="0" distB="0" distL="0" distR="0">
                  <wp:extent cx="811530" cy="877824"/>
                  <wp:effectExtent l="19050" t="0" r="7620" b="0"/>
                  <wp:docPr id="3" name="Picture 2" descr="C:\Users\ISNA\Downloads\WhatsApp Image 2020-04-17 at 12.45.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NA\Downloads\WhatsApp Image 2020-04-17 at 12.45.27.jpeg"/>
                          <pic:cNvPicPr>
                            <a:picLocks noChangeAspect="1" noChangeArrowheads="1"/>
                          </pic:cNvPicPr>
                        </pic:nvPicPr>
                        <pic:blipFill>
                          <a:blip r:embed="rId10" cstate="print"/>
                          <a:srcRect/>
                          <a:stretch>
                            <a:fillRect/>
                          </a:stretch>
                        </pic:blipFill>
                        <pic:spPr bwMode="auto">
                          <a:xfrm>
                            <a:off x="0" y="0"/>
                            <a:ext cx="810344" cy="876541"/>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3F5B72" w:rsidRPr="003F5B72" w:rsidRDefault="003F5B72" w:rsidP="003F5B72">
            <w:pPr>
              <w:jc w:val="both"/>
              <w:rPr>
                <w:color w:val="000000"/>
                <w:sz w:val="18"/>
                <w:szCs w:val="18"/>
              </w:rPr>
            </w:pPr>
            <w:r w:rsidRPr="003F5B72">
              <w:rPr>
                <w:color w:val="000000"/>
                <w:sz w:val="18"/>
                <w:szCs w:val="18"/>
              </w:rPr>
              <w:t>Anas Rahmad Hidayat, born in Sragen, March 15, 1977. Graduated SMA year 1996 continuing academic career in the nursing DIII the PKU Muhammadiyah Surakarta graduated in 1999, S1 of Public Health at the University of Muhammadiyah Semarang graduated in 2003 and S2 Master of Health Universit</w:t>
            </w:r>
            <w:r w:rsidR="005D19AF">
              <w:rPr>
                <w:color w:val="000000"/>
                <w:sz w:val="18"/>
                <w:szCs w:val="18"/>
              </w:rPr>
              <w:t>y Sebelas Maret graduated in 2011</w:t>
            </w:r>
            <w:r w:rsidRPr="003F5B72">
              <w:rPr>
                <w:color w:val="000000"/>
                <w:sz w:val="18"/>
                <w:szCs w:val="18"/>
              </w:rPr>
              <w:t>, the S3 study process at Airlangga University.</w:t>
            </w:r>
          </w:p>
          <w:p w:rsidR="00A47AD5" w:rsidRPr="003F5B72" w:rsidRDefault="003F5B72" w:rsidP="003F5B72">
            <w:pPr>
              <w:jc w:val="both"/>
              <w:rPr>
                <w:color w:val="000000"/>
                <w:sz w:val="18"/>
                <w:szCs w:val="18"/>
              </w:rPr>
            </w:pPr>
            <w:r w:rsidRPr="003F5B72">
              <w:rPr>
                <w:color w:val="000000"/>
                <w:sz w:val="18"/>
                <w:szCs w:val="18"/>
              </w:rPr>
              <w:t>Research is done. National Journals not accredited include: Community knowledge level description of pre-marital pregnancy risk; Study of marriage age on parenting patterns in Gedongan, Sragen and Knowledge Flour Albus studies in young women in Cabena Kunthi Boyolali. National accredited journals include: Analysis of factors related to toddler nutrition Status in Jetis village Karangpung Sragen, identification of toddler development with KPSP method of nutritional Status of toddlers in Boyolali. Knowledge of Flour Albus studies on young women in Cabena Kunthi Boyolali. Patient care with lung Tuberculosis at Panti Nugroho HOSPITAL, Sleman: Case study. International Journal: The Surveillance of pre marital sexual behavior in Malang, Indonesia</w:t>
            </w:r>
          </w:p>
        </w:tc>
      </w:tr>
    </w:tbl>
    <w:p w:rsidR="00231A19" w:rsidRDefault="00231A19" w:rsidP="00231A19">
      <w:pPr>
        <w:jc w:val="both"/>
        <w:rPr>
          <w:color w:val="000000"/>
          <w:sz w:val="18"/>
          <w:szCs w:val="18"/>
        </w:rPr>
      </w:pPr>
    </w:p>
    <w:sectPr w:rsidR="00231A19" w:rsidSect="00957C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CCC" w:rsidRDefault="00DF7CCC">
      <w:r>
        <w:separator/>
      </w:r>
    </w:p>
  </w:endnote>
  <w:endnote w:type="continuationSeparator" w:id="1">
    <w:p w:rsidR="00DF7CCC" w:rsidRDefault="00DF7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3D5B84" w:rsidRDefault="00BB2623" w:rsidP="00C07BEF">
    <w:pPr>
      <w:pStyle w:val="Header"/>
      <w:tabs>
        <w:tab w:val="clear" w:pos="4320"/>
        <w:tab w:val="clear" w:pos="8640"/>
        <w:tab w:val="left" w:pos="2992"/>
      </w:tabs>
      <w:spacing w:before="240"/>
    </w:pPr>
    <w:r>
      <w:rPr>
        <w:noProof/>
      </w:rPr>
      <w:pict>
        <v:line id="_x0000_s2051" style="position:absolute;z-index:251656704" from="-.95pt,11.45pt" to="438.45pt,11.45pt"/>
      </w:pict>
    </w:r>
    <w:r>
      <w:rPr>
        <w:noProof/>
      </w:rPr>
      <w:t>IJPHS</w:t>
    </w:r>
    <w:r w:rsidRPr="003D5B84">
      <w:t xml:space="preserve"> Vol. </w:t>
    </w:r>
    <w:r>
      <w:t>x</w:t>
    </w:r>
    <w:r w:rsidRPr="003D5B84">
      <w:t xml:space="preserve">, No. </w:t>
    </w:r>
    <w:r>
      <w:t>x, Month</w:t>
    </w:r>
    <w:r w:rsidRPr="003D5B84">
      <w:t xml:space="preserve">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C07BEF" w:rsidRDefault="00BB2623"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3D5B84" w:rsidRDefault="00BB2623"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CCC" w:rsidRDefault="00DF7CCC">
      <w:r>
        <w:separator/>
      </w:r>
    </w:p>
  </w:footnote>
  <w:footnote w:type="continuationSeparator" w:id="1">
    <w:p w:rsidR="00DF7CCC" w:rsidRDefault="00DF7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3D5B84" w:rsidRDefault="00BB2623"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D021B">
      <w:rPr>
        <w:rStyle w:val="PageNumber"/>
        <w:noProof/>
      </w:rPr>
      <w:t>38</w:t>
    </w:r>
    <w:r w:rsidRPr="003D5B84">
      <w:rPr>
        <w:rStyle w:val="PageNumber"/>
      </w:rPr>
      <w:fldChar w:fldCharType="end"/>
    </w:r>
  </w:p>
  <w:p w:rsidR="00BB2623" w:rsidRPr="003D5B84" w:rsidRDefault="00BB2623"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3D5B84" w:rsidRDefault="00BB262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D021B">
      <w:rPr>
        <w:rStyle w:val="PageNumber"/>
        <w:noProof/>
      </w:rPr>
      <w:t>39</w:t>
    </w:r>
    <w:r w:rsidRPr="003D5B84">
      <w:rPr>
        <w:rStyle w:val="PageNumber"/>
      </w:rPr>
      <w:fldChar w:fldCharType="end"/>
    </w:r>
  </w:p>
  <w:p w:rsidR="00BB2623" w:rsidRPr="003D5B84" w:rsidRDefault="00BB2623" w:rsidP="00C07BEF">
    <w:pPr>
      <w:pStyle w:val="Header"/>
      <w:pBdr>
        <w:bottom w:val="single" w:sz="4" w:space="1" w:color="auto"/>
      </w:pBdr>
      <w:tabs>
        <w:tab w:val="clear" w:pos="4320"/>
        <w:tab w:val="clear" w:pos="8640"/>
        <w:tab w:val="left" w:pos="0"/>
        <w:tab w:val="center" w:pos="4301"/>
        <w:tab w:val="left" w:pos="7938"/>
      </w:tabs>
    </w:pPr>
    <w:r>
      <w:t>IJPHS</w:t>
    </w:r>
    <w:r w:rsidRPr="003D5B84">
      <w:tab/>
      <w:t xml:space="preserve">ISSN: </w:t>
    </w:r>
    <w:r>
      <w:t>2252-8806</w:t>
    </w:r>
    <w:r w:rsidRPr="003D5B84">
      <w:tab/>
    </w:r>
    <w:r>
      <w:sym w:font="Wingdings" w:char="F072"/>
    </w:r>
  </w:p>
  <w:p w:rsidR="00BB2623" w:rsidRPr="003D5B84" w:rsidRDefault="00BB2623"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3" w:rsidRPr="003D5B84" w:rsidRDefault="00BB2623" w:rsidP="008B04B3">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BB2623" w:rsidRPr="003D5B84" w:rsidRDefault="00BB2623" w:rsidP="008B04B3">
    <w:pPr>
      <w:pStyle w:val="Header"/>
      <w:tabs>
        <w:tab w:val="clear" w:pos="4320"/>
        <w:tab w:val="clear" w:pos="8640"/>
      </w:tabs>
      <w:ind w:right="45"/>
    </w:pPr>
    <w:r w:rsidRPr="003D5B84">
      <w:t>Vol.</w:t>
    </w:r>
    <w:r>
      <w:t>x</w:t>
    </w:r>
    <w:r w:rsidRPr="003D5B84">
      <w:t>, No.</w:t>
    </w:r>
    <w:r>
      <w:t>x</w:t>
    </w:r>
    <w:r w:rsidRPr="003D5B84">
      <w:t xml:space="preserve">, </w:t>
    </w:r>
    <w:r>
      <w:t>July</w:t>
    </w:r>
    <w:r w:rsidRPr="003D5B84">
      <w:t xml:space="preserve"> 201</w:t>
    </w:r>
    <w:r>
      <w:t>x</w:t>
    </w:r>
    <w:r w:rsidRPr="003D5B84">
      <w:t>, pp. xx~xx</w:t>
    </w:r>
  </w:p>
  <w:p w:rsidR="00BB2623" w:rsidRPr="003D5B84" w:rsidRDefault="00BB2623" w:rsidP="00957C11">
    <w:pPr>
      <w:pStyle w:val="Header"/>
      <w:tabs>
        <w:tab w:val="clear" w:pos="4320"/>
        <w:tab w:val="clear" w:pos="8640"/>
        <w:tab w:val="left" w:pos="7938"/>
        <w:tab w:val="right" w:pos="8789"/>
      </w:tabs>
      <w:rPr>
        <w:rStyle w:val="PageNumber"/>
      </w:rPr>
    </w:pPr>
    <w:r w:rsidRPr="003D5B84">
      <w:t xml:space="preserve">ISSN: </w:t>
    </w:r>
    <w:r>
      <w:t>2252-8806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FE5AD6">
      <w:rPr>
        <w:rStyle w:val="PageNumber"/>
        <w:noProof/>
      </w:rPr>
      <w:t>31</w:t>
    </w:r>
    <w:r w:rsidRPr="003D5B84">
      <w:rPr>
        <w:rStyle w:val="PageNumber"/>
      </w:rPr>
      <w:fldChar w:fldCharType="end"/>
    </w:r>
  </w:p>
  <w:p w:rsidR="00BB2623" w:rsidRPr="003D5B84" w:rsidRDefault="00BB2623"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stylePaneFormatFilter w:val="3F01"/>
  <w:defaultTabStop w:val="720"/>
  <w:evenAndOddHeaders/>
  <w:noPunctuationKerning/>
  <w:characterSpacingControl w:val="doNotCompress"/>
  <w:hdrShapeDefaults>
    <o:shapedefaults v:ext="edit" spidmax="37890"/>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5DE6"/>
    <w:rsid w:val="000474E3"/>
    <w:rsid w:val="00047710"/>
    <w:rsid w:val="000523C5"/>
    <w:rsid w:val="00053FB7"/>
    <w:rsid w:val="0006020A"/>
    <w:rsid w:val="00060330"/>
    <w:rsid w:val="00060F5C"/>
    <w:rsid w:val="00061D77"/>
    <w:rsid w:val="00062720"/>
    <w:rsid w:val="00066063"/>
    <w:rsid w:val="0007154C"/>
    <w:rsid w:val="0007236F"/>
    <w:rsid w:val="0007255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78B"/>
    <w:rsid w:val="000A7ACA"/>
    <w:rsid w:val="000B0641"/>
    <w:rsid w:val="000B5480"/>
    <w:rsid w:val="000B682B"/>
    <w:rsid w:val="000C03DA"/>
    <w:rsid w:val="000C4B17"/>
    <w:rsid w:val="000C691D"/>
    <w:rsid w:val="000C730A"/>
    <w:rsid w:val="000D099B"/>
    <w:rsid w:val="000D50C8"/>
    <w:rsid w:val="000D6591"/>
    <w:rsid w:val="000D6BC3"/>
    <w:rsid w:val="000E0AE1"/>
    <w:rsid w:val="000E0C84"/>
    <w:rsid w:val="000E0CE9"/>
    <w:rsid w:val="000E0E3C"/>
    <w:rsid w:val="000E1C9D"/>
    <w:rsid w:val="000E28E0"/>
    <w:rsid w:val="000E39EF"/>
    <w:rsid w:val="000E46C5"/>
    <w:rsid w:val="000E4CBF"/>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A2C"/>
    <w:rsid w:val="00113F18"/>
    <w:rsid w:val="00114470"/>
    <w:rsid w:val="00117326"/>
    <w:rsid w:val="00117C85"/>
    <w:rsid w:val="00121C37"/>
    <w:rsid w:val="00122833"/>
    <w:rsid w:val="00123F0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134B"/>
    <w:rsid w:val="001A33EF"/>
    <w:rsid w:val="001B0927"/>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080"/>
    <w:rsid w:val="001E5CFB"/>
    <w:rsid w:val="001E608B"/>
    <w:rsid w:val="001E69C1"/>
    <w:rsid w:val="001E7DCD"/>
    <w:rsid w:val="001E7FFA"/>
    <w:rsid w:val="001F0AFC"/>
    <w:rsid w:val="001F282A"/>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08E2"/>
    <w:rsid w:val="0024180A"/>
    <w:rsid w:val="0024268D"/>
    <w:rsid w:val="00250442"/>
    <w:rsid w:val="00250A66"/>
    <w:rsid w:val="00252D0A"/>
    <w:rsid w:val="00254EC2"/>
    <w:rsid w:val="002550AB"/>
    <w:rsid w:val="00256322"/>
    <w:rsid w:val="002575A8"/>
    <w:rsid w:val="00260476"/>
    <w:rsid w:val="00261B88"/>
    <w:rsid w:val="0026229E"/>
    <w:rsid w:val="002622CD"/>
    <w:rsid w:val="00266574"/>
    <w:rsid w:val="002668F8"/>
    <w:rsid w:val="00267899"/>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97126"/>
    <w:rsid w:val="002A0772"/>
    <w:rsid w:val="002B0601"/>
    <w:rsid w:val="002B10C7"/>
    <w:rsid w:val="002B2CD8"/>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3457"/>
    <w:rsid w:val="002E6409"/>
    <w:rsid w:val="002F137A"/>
    <w:rsid w:val="002F267D"/>
    <w:rsid w:val="002F3D30"/>
    <w:rsid w:val="002F41A4"/>
    <w:rsid w:val="002F48E3"/>
    <w:rsid w:val="002F6BBA"/>
    <w:rsid w:val="002F6DFA"/>
    <w:rsid w:val="002F7C5F"/>
    <w:rsid w:val="0030038F"/>
    <w:rsid w:val="00302D7F"/>
    <w:rsid w:val="00304A60"/>
    <w:rsid w:val="00304B01"/>
    <w:rsid w:val="00305125"/>
    <w:rsid w:val="0030589C"/>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06D6"/>
    <w:rsid w:val="0034265F"/>
    <w:rsid w:val="0034266E"/>
    <w:rsid w:val="00343A49"/>
    <w:rsid w:val="003457DE"/>
    <w:rsid w:val="00346441"/>
    <w:rsid w:val="003475EC"/>
    <w:rsid w:val="0035076B"/>
    <w:rsid w:val="0035131C"/>
    <w:rsid w:val="00352310"/>
    <w:rsid w:val="00352BEB"/>
    <w:rsid w:val="00353885"/>
    <w:rsid w:val="00361EB1"/>
    <w:rsid w:val="003629D1"/>
    <w:rsid w:val="003637CE"/>
    <w:rsid w:val="003715EC"/>
    <w:rsid w:val="00373753"/>
    <w:rsid w:val="00376867"/>
    <w:rsid w:val="00376A96"/>
    <w:rsid w:val="003772AC"/>
    <w:rsid w:val="00377A06"/>
    <w:rsid w:val="00381E56"/>
    <w:rsid w:val="003826FF"/>
    <w:rsid w:val="00385B67"/>
    <w:rsid w:val="00391B9C"/>
    <w:rsid w:val="00393D9D"/>
    <w:rsid w:val="00393E61"/>
    <w:rsid w:val="003947C3"/>
    <w:rsid w:val="00396D02"/>
    <w:rsid w:val="003A0041"/>
    <w:rsid w:val="003A1C3E"/>
    <w:rsid w:val="003A2970"/>
    <w:rsid w:val="003A2FBC"/>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934"/>
    <w:rsid w:val="003D5B84"/>
    <w:rsid w:val="003D79CF"/>
    <w:rsid w:val="003E0207"/>
    <w:rsid w:val="003E304D"/>
    <w:rsid w:val="003E407B"/>
    <w:rsid w:val="003E4AA5"/>
    <w:rsid w:val="003E7468"/>
    <w:rsid w:val="003F0964"/>
    <w:rsid w:val="003F18A1"/>
    <w:rsid w:val="003F1D93"/>
    <w:rsid w:val="003F2EB6"/>
    <w:rsid w:val="003F4897"/>
    <w:rsid w:val="003F5B72"/>
    <w:rsid w:val="003F6587"/>
    <w:rsid w:val="00402C7D"/>
    <w:rsid w:val="00403A74"/>
    <w:rsid w:val="00403B18"/>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07C8"/>
    <w:rsid w:val="00453463"/>
    <w:rsid w:val="004550E4"/>
    <w:rsid w:val="00455FB3"/>
    <w:rsid w:val="004637E8"/>
    <w:rsid w:val="00464CB0"/>
    <w:rsid w:val="00467368"/>
    <w:rsid w:val="004674CD"/>
    <w:rsid w:val="004710EE"/>
    <w:rsid w:val="00472E56"/>
    <w:rsid w:val="004740EC"/>
    <w:rsid w:val="0047527B"/>
    <w:rsid w:val="00477105"/>
    <w:rsid w:val="004819CF"/>
    <w:rsid w:val="00481DA2"/>
    <w:rsid w:val="00482432"/>
    <w:rsid w:val="00484866"/>
    <w:rsid w:val="004859D6"/>
    <w:rsid w:val="00485FD1"/>
    <w:rsid w:val="0048797E"/>
    <w:rsid w:val="00487DD3"/>
    <w:rsid w:val="004902C8"/>
    <w:rsid w:val="004905D4"/>
    <w:rsid w:val="00492E44"/>
    <w:rsid w:val="004947B9"/>
    <w:rsid w:val="0049514C"/>
    <w:rsid w:val="00495283"/>
    <w:rsid w:val="00496DFD"/>
    <w:rsid w:val="004A0C8B"/>
    <w:rsid w:val="004A187E"/>
    <w:rsid w:val="004A335F"/>
    <w:rsid w:val="004A3F3D"/>
    <w:rsid w:val="004A4FDB"/>
    <w:rsid w:val="004A5FC0"/>
    <w:rsid w:val="004A6DEB"/>
    <w:rsid w:val="004A7C83"/>
    <w:rsid w:val="004B1FFE"/>
    <w:rsid w:val="004B2F8C"/>
    <w:rsid w:val="004B4EDE"/>
    <w:rsid w:val="004B589F"/>
    <w:rsid w:val="004B661B"/>
    <w:rsid w:val="004B76DC"/>
    <w:rsid w:val="004C0B2C"/>
    <w:rsid w:val="004C3BEB"/>
    <w:rsid w:val="004C59ED"/>
    <w:rsid w:val="004C65D5"/>
    <w:rsid w:val="004D5481"/>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3574"/>
    <w:rsid w:val="00503A3F"/>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3E27"/>
    <w:rsid w:val="0052442F"/>
    <w:rsid w:val="00526CFA"/>
    <w:rsid w:val="00530CAF"/>
    <w:rsid w:val="0053172B"/>
    <w:rsid w:val="00532941"/>
    <w:rsid w:val="00535A39"/>
    <w:rsid w:val="005373E3"/>
    <w:rsid w:val="00540DCE"/>
    <w:rsid w:val="00540DD7"/>
    <w:rsid w:val="00541F86"/>
    <w:rsid w:val="00541FCB"/>
    <w:rsid w:val="0054283A"/>
    <w:rsid w:val="00545E9C"/>
    <w:rsid w:val="00546ADF"/>
    <w:rsid w:val="00547658"/>
    <w:rsid w:val="0054768C"/>
    <w:rsid w:val="0055649A"/>
    <w:rsid w:val="00563102"/>
    <w:rsid w:val="00566730"/>
    <w:rsid w:val="00572013"/>
    <w:rsid w:val="00573257"/>
    <w:rsid w:val="0057406E"/>
    <w:rsid w:val="005778F7"/>
    <w:rsid w:val="00577A3F"/>
    <w:rsid w:val="005805DF"/>
    <w:rsid w:val="0058326E"/>
    <w:rsid w:val="005833B8"/>
    <w:rsid w:val="00583A03"/>
    <w:rsid w:val="005841BA"/>
    <w:rsid w:val="00584301"/>
    <w:rsid w:val="00585052"/>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D9B"/>
    <w:rsid w:val="005D021B"/>
    <w:rsid w:val="005D02EE"/>
    <w:rsid w:val="005D0C1B"/>
    <w:rsid w:val="005D19AF"/>
    <w:rsid w:val="005D210E"/>
    <w:rsid w:val="005D2408"/>
    <w:rsid w:val="005D3D27"/>
    <w:rsid w:val="005D464B"/>
    <w:rsid w:val="005D7D3A"/>
    <w:rsid w:val="005D7EB1"/>
    <w:rsid w:val="005E6EF7"/>
    <w:rsid w:val="005E736A"/>
    <w:rsid w:val="005E75FC"/>
    <w:rsid w:val="005F042D"/>
    <w:rsid w:val="005F3D1C"/>
    <w:rsid w:val="005F534C"/>
    <w:rsid w:val="005F75F8"/>
    <w:rsid w:val="006044C7"/>
    <w:rsid w:val="006123B6"/>
    <w:rsid w:val="00612401"/>
    <w:rsid w:val="00613977"/>
    <w:rsid w:val="0061627D"/>
    <w:rsid w:val="006166E9"/>
    <w:rsid w:val="006206C7"/>
    <w:rsid w:val="00622EC4"/>
    <w:rsid w:val="0062488B"/>
    <w:rsid w:val="006327F1"/>
    <w:rsid w:val="00636167"/>
    <w:rsid w:val="00640CEE"/>
    <w:rsid w:val="00644417"/>
    <w:rsid w:val="00647075"/>
    <w:rsid w:val="00652EBE"/>
    <w:rsid w:val="006549EF"/>
    <w:rsid w:val="00654DCD"/>
    <w:rsid w:val="00655C14"/>
    <w:rsid w:val="00656420"/>
    <w:rsid w:val="00657A9C"/>
    <w:rsid w:val="006612DF"/>
    <w:rsid w:val="00662070"/>
    <w:rsid w:val="0066237A"/>
    <w:rsid w:val="006628A9"/>
    <w:rsid w:val="00665A9F"/>
    <w:rsid w:val="00665B37"/>
    <w:rsid w:val="006719D8"/>
    <w:rsid w:val="00672F3B"/>
    <w:rsid w:val="0067364F"/>
    <w:rsid w:val="00675D81"/>
    <w:rsid w:val="00676455"/>
    <w:rsid w:val="00676EB9"/>
    <w:rsid w:val="00680244"/>
    <w:rsid w:val="00682B00"/>
    <w:rsid w:val="00685AA5"/>
    <w:rsid w:val="00685FB4"/>
    <w:rsid w:val="006863DA"/>
    <w:rsid w:val="00687CA7"/>
    <w:rsid w:val="00687D3A"/>
    <w:rsid w:val="006925E2"/>
    <w:rsid w:val="00697A07"/>
    <w:rsid w:val="006A0231"/>
    <w:rsid w:val="006A090C"/>
    <w:rsid w:val="006A1384"/>
    <w:rsid w:val="006A34DA"/>
    <w:rsid w:val="006A6AEE"/>
    <w:rsid w:val="006A7709"/>
    <w:rsid w:val="006B027E"/>
    <w:rsid w:val="006B0965"/>
    <w:rsid w:val="006B47B6"/>
    <w:rsid w:val="006B6754"/>
    <w:rsid w:val="006B71FD"/>
    <w:rsid w:val="006C0661"/>
    <w:rsid w:val="006C0E3B"/>
    <w:rsid w:val="006C18AF"/>
    <w:rsid w:val="006C1D12"/>
    <w:rsid w:val="006D29E6"/>
    <w:rsid w:val="006D3802"/>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3E69"/>
    <w:rsid w:val="007142C8"/>
    <w:rsid w:val="0071553E"/>
    <w:rsid w:val="007171E6"/>
    <w:rsid w:val="00717A32"/>
    <w:rsid w:val="00717F1F"/>
    <w:rsid w:val="00720729"/>
    <w:rsid w:val="007212E2"/>
    <w:rsid w:val="00723DEB"/>
    <w:rsid w:val="007240E7"/>
    <w:rsid w:val="00731AEB"/>
    <w:rsid w:val="00740C36"/>
    <w:rsid w:val="00741A8F"/>
    <w:rsid w:val="00742008"/>
    <w:rsid w:val="00743BA0"/>
    <w:rsid w:val="00747DFD"/>
    <w:rsid w:val="00752A21"/>
    <w:rsid w:val="00754329"/>
    <w:rsid w:val="007547A1"/>
    <w:rsid w:val="00756A93"/>
    <w:rsid w:val="0075769A"/>
    <w:rsid w:val="0076152F"/>
    <w:rsid w:val="00765DEF"/>
    <w:rsid w:val="00766E46"/>
    <w:rsid w:val="00770E6E"/>
    <w:rsid w:val="00771A7C"/>
    <w:rsid w:val="0077230A"/>
    <w:rsid w:val="00772725"/>
    <w:rsid w:val="00773EB7"/>
    <w:rsid w:val="007751AA"/>
    <w:rsid w:val="00777AD7"/>
    <w:rsid w:val="00787468"/>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0FC"/>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176B2"/>
    <w:rsid w:val="00820B4E"/>
    <w:rsid w:val="00822488"/>
    <w:rsid w:val="008226A2"/>
    <w:rsid w:val="00823B38"/>
    <w:rsid w:val="00823F1C"/>
    <w:rsid w:val="00824697"/>
    <w:rsid w:val="00827A30"/>
    <w:rsid w:val="0083122F"/>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30DA"/>
    <w:rsid w:val="008538D0"/>
    <w:rsid w:val="00853BF4"/>
    <w:rsid w:val="00854ED5"/>
    <w:rsid w:val="00855965"/>
    <w:rsid w:val="00856356"/>
    <w:rsid w:val="008563F2"/>
    <w:rsid w:val="00856592"/>
    <w:rsid w:val="00860671"/>
    <w:rsid w:val="00862CD2"/>
    <w:rsid w:val="0086508B"/>
    <w:rsid w:val="00866E4F"/>
    <w:rsid w:val="00867772"/>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BC1"/>
    <w:rsid w:val="008C54EA"/>
    <w:rsid w:val="008C6701"/>
    <w:rsid w:val="008C671C"/>
    <w:rsid w:val="008D28A9"/>
    <w:rsid w:val="008D3BDF"/>
    <w:rsid w:val="008D7EA2"/>
    <w:rsid w:val="008E0F80"/>
    <w:rsid w:val="008E1CA4"/>
    <w:rsid w:val="008E3FAA"/>
    <w:rsid w:val="008E6D0F"/>
    <w:rsid w:val="008E737C"/>
    <w:rsid w:val="008F05B8"/>
    <w:rsid w:val="008F0C9D"/>
    <w:rsid w:val="008F0D5A"/>
    <w:rsid w:val="008F1C12"/>
    <w:rsid w:val="008F5A4B"/>
    <w:rsid w:val="008F5EF9"/>
    <w:rsid w:val="008F5F6F"/>
    <w:rsid w:val="00900EC1"/>
    <w:rsid w:val="00901214"/>
    <w:rsid w:val="00901EFC"/>
    <w:rsid w:val="00904D6D"/>
    <w:rsid w:val="00904EC8"/>
    <w:rsid w:val="00906951"/>
    <w:rsid w:val="0091187A"/>
    <w:rsid w:val="00912FBC"/>
    <w:rsid w:val="00913207"/>
    <w:rsid w:val="00913D3B"/>
    <w:rsid w:val="00913F75"/>
    <w:rsid w:val="00921D05"/>
    <w:rsid w:val="0092257C"/>
    <w:rsid w:val="00923121"/>
    <w:rsid w:val="009314C3"/>
    <w:rsid w:val="009317FD"/>
    <w:rsid w:val="0093281D"/>
    <w:rsid w:val="00937DB4"/>
    <w:rsid w:val="009406FF"/>
    <w:rsid w:val="00941203"/>
    <w:rsid w:val="009416C1"/>
    <w:rsid w:val="0094367D"/>
    <w:rsid w:val="00943FA1"/>
    <w:rsid w:val="00945A5C"/>
    <w:rsid w:val="00946389"/>
    <w:rsid w:val="0094738D"/>
    <w:rsid w:val="00950EF7"/>
    <w:rsid w:val="00954DC1"/>
    <w:rsid w:val="00955462"/>
    <w:rsid w:val="009560FB"/>
    <w:rsid w:val="00956EB6"/>
    <w:rsid w:val="00957C11"/>
    <w:rsid w:val="009617A9"/>
    <w:rsid w:val="00961F3D"/>
    <w:rsid w:val="009665BE"/>
    <w:rsid w:val="00966D7E"/>
    <w:rsid w:val="009673AB"/>
    <w:rsid w:val="00970E84"/>
    <w:rsid w:val="00971153"/>
    <w:rsid w:val="00971DBC"/>
    <w:rsid w:val="009777CB"/>
    <w:rsid w:val="00981036"/>
    <w:rsid w:val="00981E5F"/>
    <w:rsid w:val="00983846"/>
    <w:rsid w:val="00990CC8"/>
    <w:rsid w:val="0099227E"/>
    <w:rsid w:val="009949C5"/>
    <w:rsid w:val="009A19B2"/>
    <w:rsid w:val="009B3EC0"/>
    <w:rsid w:val="009B5FE8"/>
    <w:rsid w:val="009B62B1"/>
    <w:rsid w:val="009B76C2"/>
    <w:rsid w:val="009C080D"/>
    <w:rsid w:val="009C1485"/>
    <w:rsid w:val="009C31DA"/>
    <w:rsid w:val="009C5293"/>
    <w:rsid w:val="009D117C"/>
    <w:rsid w:val="009D32D1"/>
    <w:rsid w:val="009D41DF"/>
    <w:rsid w:val="009D482D"/>
    <w:rsid w:val="009D709E"/>
    <w:rsid w:val="009E0249"/>
    <w:rsid w:val="009E055A"/>
    <w:rsid w:val="009E0F0F"/>
    <w:rsid w:val="009E36AC"/>
    <w:rsid w:val="009E4FB4"/>
    <w:rsid w:val="009E5694"/>
    <w:rsid w:val="009E585B"/>
    <w:rsid w:val="009F040E"/>
    <w:rsid w:val="00A01765"/>
    <w:rsid w:val="00A02BD0"/>
    <w:rsid w:val="00A02DD3"/>
    <w:rsid w:val="00A04D6C"/>
    <w:rsid w:val="00A05622"/>
    <w:rsid w:val="00A1136A"/>
    <w:rsid w:val="00A16250"/>
    <w:rsid w:val="00A17296"/>
    <w:rsid w:val="00A17D28"/>
    <w:rsid w:val="00A205BE"/>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401"/>
    <w:rsid w:val="00A50FC7"/>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357B"/>
    <w:rsid w:val="00AA3EC5"/>
    <w:rsid w:val="00AA48F5"/>
    <w:rsid w:val="00AA4B39"/>
    <w:rsid w:val="00AA512B"/>
    <w:rsid w:val="00AA608B"/>
    <w:rsid w:val="00AA77C0"/>
    <w:rsid w:val="00AB1CD7"/>
    <w:rsid w:val="00AB1D92"/>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AF70F4"/>
    <w:rsid w:val="00B011BB"/>
    <w:rsid w:val="00B0163B"/>
    <w:rsid w:val="00B01781"/>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4F60"/>
    <w:rsid w:val="00B768D7"/>
    <w:rsid w:val="00B778A3"/>
    <w:rsid w:val="00B809F3"/>
    <w:rsid w:val="00B85932"/>
    <w:rsid w:val="00B87588"/>
    <w:rsid w:val="00B92474"/>
    <w:rsid w:val="00BA2419"/>
    <w:rsid w:val="00BB0A41"/>
    <w:rsid w:val="00BB0F2F"/>
    <w:rsid w:val="00BB1C66"/>
    <w:rsid w:val="00BB2623"/>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5E8"/>
    <w:rsid w:val="00BE520C"/>
    <w:rsid w:val="00BE571A"/>
    <w:rsid w:val="00BF16AD"/>
    <w:rsid w:val="00BF2C8B"/>
    <w:rsid w:val="00BF34A7"/>
    <w:rsid w:val="00BF3B14"/>
    <w:rsid w:val="00BF6218"/>
    <w:rsid w:val="00C001B1"/>
    <w:rsid w:val="00C00EA2"/>
    <w:rsid w:val="00C011EE"/>
    <w:rsid w:val="00C02535"/>
    <w:rsid w:val="00C02602"/>
    <w:rsid w:val="00C0352A"/>
    <w:rsid w:val="00C0425B"/>
    <w:rsid w:val="00C05811"/>
    <w:rsid w:val="00C06B69"/>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7AD3"/>
    <w:rsid w:val="00C30D4A"/>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8D1"/>
    <w:rsid w:val="00C63C08"/>
    <w:rsid w:val="00C66CCC"/>
    <w:rsid w:val="00C676A4"/>
    <w:rsid w:val="00C700B6"/>
    <w:rsid w:val="00C7182A"/>
    <w:rsid w:val="00C72659"/>
    <w:rsid w:val="00C734AC"/>
    <w:rsid w:val="00C73BD7"/>
    <w:rsid w:val="00C80CAC"/>
    <w:rsid w:val="00C83DCB"/>
    <w:rsid w:val="00C83E84"/>
    <w:rsid w:val="00C8516B"/>
    <w:rsid w:val="00C854C1"/>
    <w:rsid w:val="00C85B81"/>
    <w:rsid w:val="00C9178F"/>
    <w:rsid w:val="00C9244B"/>
    <w:rsid w:val="00C93F76"/>
    <w:rsid w:val="00C9655A"/>
    <w:rsid w:val="00C96FCA"/>
    <w:rsid w:val="00C9754D"/>
    <w:rsid w:val="00C975DF"/>
    <w:rsid w:val="00CA1B75"/>
    <w:rsid w:val="00CA5D84"/>
    <w:rsid w:val="00CC1960"/>
    <w:rsid w:val="00CC6173"/>
    <w:rsid w:val="00CE1CF3"/>
    <w:rsid w:val="00CE70F3"/>
    <w:rsid w:val="00CE7659"/>
    <w:rsid w:val="00CF0E18"/>
    <w:rsid w:val="00CF29A4"/>
    <w:rsid w:val="00CF2F2E"/>
    <w:rsid w:val="00CF624D"/>
    <w:rsid w:val="00CF6E34"/>
    <w:rsid w:val="00D03226"/>
    <w:rsid w:val="00D063B7"/>
    <w:rsid w:val="00D066D9"/>
    <w:rsid w:val="00D076EF"/>
    <w:rsid w:val="00D108C5"/>
    <w:rsid w:val="00D10D7A"/>
    <w:rsid w:val="00D1187F"/>
    <w:rsid w:val="00D11C2D"/>
    <w:rsid w:val="00D1618D"/>
    <w:rsid w:val="00D167B1"/>
    <w:rsid w:val="00D16D1B"/>
    <w:rsid w:val="00D21636"/>
    <w:rsid w:val="00D21F66"/>
    <w:rsid w:val="00D24B66"/>
    <w:rsid w:val="00D24C22"/>
    <w:rsid w:val="00D31492"/>
    <w:rsid w:val="00D3478B"/>
    <w:rsid w:val="00D35E12"/>
    <w:rsid w:val="00D37DC7"/>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0C3"/>
    <w:rsid w:val="00D65A1C"/>
    <w:rsid w:val="00D67099"/>
    <w:rsid w:val="00D71939"/>
    <w:rsid w:val="00D72D27"/>
    <w:rsid w:val="00D73317"/>
    <w:rsid w:val="00D743C8"/>
    <w:rsid w:val="00D743DA"/>
    <w:rsid w:val="00D744B5"/>
    <w:rsid w:val="00D745B1"/>
    <w:rsid w:val="00D74C5F"/>
    <w:rsid w:val="00D753F3"/>
    <w:rsid w:val="00D8018F"/>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C36BC"/>
    <w:rsid w:val="00DD35E7"/>
    <w:rsid w:val="00DD5486"/>
    <w:rsid w:val="00DD5984"/>
    <w:rsid w:val="00DD650E"/>
    <w:rsid w:val="00DD7968"/>
    <w:rsid w:val="00DE0B7E"/>
    <w:rsid w:val="00DE1418"/>
    <w:rsid w:val="00DE2205"/>
    <w:rsid w:val="00DE421E"/>
    <w:rsid w:val="00DE46FE"/>
    <w:rsid w:val="00DE5454"/>
    <w:rsid w:val="00DE7F41"/>
    <w:rsid w:val="00DF0F50"/>
    <w:rsid w:val="00DF2309"/>
    <w:rsid w:val="00DF28DC"/>
    <w:rsid w:val="00DF3915"/>
    <w:rsid w:val="00DF44AC"/>
    <w:rsid w:val="00DF4CE2"/>
    <w:rsid w:val="00DF7CCC"/>
    <w:rsid w:val="00E0168F"/>
    <w:rsid w:val="00E12071"/>
    <w:rsid w:val="00E12660"/>
    <w:rsid w:val="00E12838"/>
    <w:rsid w:val="00E15BBF"/>
    <w:rsid w:val="00E15ECD"/>
    <w:rsid w:val="00E17E8F"/>
    <w:rsid w:val="00E23F00"/>
    <w:rsid w:val="00E2599A"/>
    <w:rsid w:val="00E26A0F"/>
    <w:rsid w:val="00E318D4"/>
    <w:rsid w:val="00E339EE"/>
    <w:rsid w:val="00E3557A"/>
    <w:rsid w:val="00E371E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586C"/>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04B"/>
    <w:rsid w:val="00F04601"/>
    <w:rsid w:val="00F0775E"/>
    <w:rsid w:val="00F15F69"/>
    <w:rsid w:val="00F1612D"/>
    <w:rsid w:val="00F173DD"/>
    <w:rsid w:val="00F17546"/>
    <w:rsid w:val="00F21119"/>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7A4C"/>
    <w:rsid w:val="00F73E78"/>
    <w:rsid w:val="00F740C2"/>
    <w:rsid w:val="00F7591E"/>
    <w:rsid w:val="00F75EF9"/>
    <w:rsid w:val="00F77A9B"/>
    <w:rsid w:val="00F81BDF"/>
    <w:rsid w:val="00F83035"/>
    <w:rsid w:val="00F8553D"/>
    <w:rsid w:val="00F86427"/>
    <w:rsid w:val="00F866B0"/>
    <w:rsid w:val="00F869EF"/>
    <w:rsid w:val="00F86BE4"/>
    <w:rsid w:val="00F86C7B"/>
    <w:rsid w:val="00F86D61"/>
    <w:rsid w:val="00F905B6"/>
    <w:rsid w:val="00F90B31"/>
    <w:rsid w:val="00F914B2"/>
    <w:rsid w:val="00F926B9"/>
    <w:rsid w:val="00F92CDC"/>
    <w:rsid w:val="00F9541D"/>
    <w:rsid w:val="00FA0403"/>
    <w:rsid w:val="00FA22E7"/>
    <w:rsid w:val="00FA597D"/>
    <w:rsid w:val="00FA5B9A"/>
    <w:rsid w:val="00FB01B9"/>
    <w:rsid w:val="00FB0201"/>
    <w:rsid w:val="00FB4EB1"/>
    <w:rsid w:val="00FB763A"/>
    <w:rsid w:val="00FB79C0"/>
    <w:rsid w:val="00FC2EB8"/>
    <w:rsid w:val="00FC5C43"/>
    <w:rsid w:val="00FD1598"/>
    <w:rsid w:val="00FD3B61"/>
    <w:rsid w:val="00FD576E"/>
    <w:rsid w:val="00FD596B"/>
    <w:rsid w:val="00FE155D"/>
    <w:rsid w:val="00FE2AF9"/>
    <w:rsid w:val="00FE58CC"/>
    <w:rsid w:val="00FE5AD6"/>
    <w:rsid w:val="00FE702B"/>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rules v:ext="edit">
        <o:r id="V:Rule11" type="connector" idref="#_x0000_s1057">
          <o:proxy start="" idref="#_x0000_s1054" connectloc="2"/>
          <o:proxy end="" idref="#_x0000_s1056" connectloc="2"/>
        </o:r>
        <o:r id="V:Rule12" type="connector" idref="#_x0000_s1058">
          <o:proxy start="" idref="#_x0000_s1053" connectloc="3"/>
          <o:proxy end="" idref="#_x0000_s1055" connectloc="1"/>
        </o:r>
        <o:r id="V:Rule13" type="connector" idref="#_x0000_s1074">
          <o:proxy start="" idref="#_x0000_s1053" connectloc="0"/>
          <o:proxy end="" idref="#_x0000_s1056" connectloc="0"/>
        </o:r>
        <o:r id="V:Rule14" type="connector" idref="#_x0000_s1061"/>
        <o:r id="V:Rule15" type="connector" idref="#_x0000_s1060">
          <o:proxy start="" idref="#_x0000_s1053" connectloc="1"/>
          <o:proxy end="" idref="#_x0000_s1054" connectloc="1"/>
        </o:r>
        <o:r id="V:Rule16" type="connector" idref="#_x0000_s1059">
          <o:proxy start="" idref="#_x0000_s1054" connectloc="3"/>
          <o:proxy end="" idref="#_x0000_s1055" connectloc="1"/>
        </o:r>
        <o:r id="V:Rule17" type="connector" idref="#_x0000_s1062"/>
        <o:r id="V:Rule18" type="connector" idref="#_x0000_s1064">
          <o:proxy start="" idref="#_x0000_s1055" connectloc="3"/>
        </o:r>
        <o:r id="V:Rule19" type="connector" idref="#_x0000_s1063"/>
        <o:r id="V:Rule20"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EndnoteText">
    <w:name w:val="endnote text"/>
    <w:basedOn w:val="Normal"/>
    <w:link w:val="EndnoteTextChar"/>
    <w:uiPriority w:val="99"/>
    <w:semiHidden/>
    <w:unhideWhenUsed/>
    <w:rsid w:val="00BE45E8"/>
  </w:style>
  <w:style w:type="character" w:customStyle="1" w:styleId="EndnoteTextChar">
    <w:name w:val="Endnote Text Char"/>
    <w:basedOn w:val="DefaultParagraphFont"/>
    <w:link w:val="EndnoteText"/>
    <w:uiPriority w:val="99"/>
    <w:semiHidden/>
    <w:rsid w:val="00BE45E8"/>
  </w:style>
  <w:style w:type="character" w:styleId="EndnoteReference">
    <w:name w:val="endnote reference"/>
    <w:basedOn w:val="DefaultParagraphFont"/>
    <w:uiPriority w:val="99"/>
    <w:semiHidden/>
    <w:unhideWhenUsed/>
    <w:rsid w:val="00BE45E8"/>
    <w:rPr>
      <w:vertAlign w:val="superscript"/>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5663206">
      <w:bodyDiv w:val="1"/>
      <w:marLeft w:val="0"/>
      <w:marRight w:val="0"/>
      <w:marTop w:val="0"/>
      <w:marBottom w:val="0"/>
      <w:divBdr>
        <w:top w:val="none" w:sz="0" w:space="0" w:color="auto"/>
        <w:left w:val="none" w:sz="0" w:space="0" w:color="auto"/>
        <w:bottom w:val="none" w:sz="0" w:space="0" w:color="auto"/>
        <w:right w:val="none" w:sz="0" w:space="0" w:color="auto"/>
      </w:divBdr>
      <w:divsChild>
        <w:div w:id="2007703241">
          <w:marLeft w:val="240"/>
          <w:marRight w:val="0"/>
          <w:marTop w:val="384"/>
          <w:marBottom w:val="960"/>
          <w:divBdr>
            <w:top w:val="none" w:sz="0" w:space="0" w:color="auto"/>
            <w:left w:val="none" w:sz="0" w:space="0" w:color="auto"/>
            <w:bottom w:val="none" w:sz="0" w:space="0" w:color="auto"/>
            <w:right w:val="none" w:sz="0" w:space="0" w:color="auto"/>
          </w:divBdr>
          <w:divsChild>
            <w:div w:id="654145284">
              <w:marLeft w:val="0"/>
              <w:marRight w:val="0"/>
              <w:marTop w:val="0"/>
              <w:marBottom w:val="0"/>
              <w:divBdr>
                <w:top w:val="none" w:sz="0" w:space="0" w:color="auto"/>
                <w:left w:val="none" w:sz="0" w:space="0" w:color="auto"/>
                <w:bottom w:val="none" w:sz="0" w:space="0" w:color="auto"/>
                <w:right w:val="none" w:sz="0" w:space="0" w:color="auto"/>
              </w:divBdr>
              <w:divsChild>
                <w:div w:id="1469739654">
                  <w:marLeft w:val="0"/>
                  <w:marRight w:val="0"/>
                  <w:marTop w:val="0"/>
                  <w:marBottom w:val="0"/>
                  <w:divBdr>
                    <w:top w:val="none" w:sz="0" w:space="0" w:color="auto"/>
                    <w:left w:val="none" w:sz="0" w:space="0" w:color="auto"/>
                    <w:bottom w:val="none" w:sz="0" w:space="0" w:color="auto"/>
                    <w:right w:val="none" w:sz="0" w:space="0" w:color="auto"/>
                  </w:divBdr>
                  <w:divsChild>
                    <w:div w:id="426461341">
                      <w:marLeft w:val="0"/>
                      <w:marRight w:val="0"/>
                      <w:marTop w:val="0"/>
                      <w:marBottom w:val="0"/>
                      <w:divBdr>
                        <w:top w:val="none" w:sz="0" w:space="0" w:color="auto"/>
                        <w:left w:val="none" w:sz="0" w:space="0" w:color="auto"/>
                        <w:bottom w:val="none" w:sz="0" w:space="0" w:color="auto"/>
                        <w:right w:val="none" w:sz="0" w:space="0" w:color="auto"/>
                      </w:divBdr>
                      <w:divsChild>
                        <w:div w:id="1073963656">
                          <w:marLeft w:val="0"/>
                          <w:marRight w:val="0"/>
                          <w:marTop w:val="0"/>
                          <w:marBottom w:val="0"/>
                          <w:divBdr>
                            <w:top w:val="none" w:sz="0" w:space="0" w:color="auto"/>
                            <w:left w:val="none" w:sz="0" w:space="0" w:color="auto"/>
                            <w:bottom w:val="none" w:sz="0" w:space="0" w:color="auto"/>
                            <w:right w:val="none" w:sz="0" w:space="0" w:color="auto"/>
                          </w:divBdr>
                          <w:divsChild>
                            <w:div w:id="1827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na@stikesmus.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EABA9-70F0-4CB8-A60D-AAE3D26E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9</Pages>
  <Words>13164</Words>
  <Characters>75037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27</cp:revision>
  <cp:lastPrinted>2004-12-30T03:27:00Z</cp:lastPrinted>
  <dcterms:created xsi:type="dcterms:W3CDTF">2020-02-27T05:28:00Z</dcterms:created>
  <dcterms:modified xsi:type="dcterms:W3CDTF">2020-04-19T05:38:00Z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59a5c379-579d-344b-8381-0db1be747206</vt:lpwstr>
  </property>
  <property fmtid="{D5CDD505-2E9C-101B-9397-08002B2CF9AE}" pid="24" name="Mendeley Citation Style_1">
    <vt:lpwstr>http://www.zotero.org/styles/vancouver</vt:lpwstr>
  </property>
</Properties>
</file>