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9C4415" w:rsidRDefault="002B1718" w:rsidP="00AE662C">
      <w:pPr>
        <w:pStyle w:val="Title"/>
        <w:ind w:right="569"/>
      </w:pPr>
      <w:bookmarkStart w:id="0" w:name="_GoBack"/>
      <w:bookmarkEnd w:id="0"/>
      <w:r w:rsidRPr="009C4415">
        <w:rPr>
          <w:sz w:val="32"/>
          <w:szCs w:val="32"/>
        </w:rPr>
        <w:t>The Relationship between Body Mass Index, Sleep Quality, Stress Conditions and Menstrual Cycles in Female Adolescents</w:t>
      </w:r>
    </w:p>
    <w:p w:rsidR="00904D6D" w:rsidRPr="009C4415" w:rsidRDefault="00904D6D" w:rsidP="00904D6D">
      <w:pPr>
        <w:jc w:val="center"/>
        <w:rPr>
          <w:b/>
          <w:bCs/>
        </w:rPr>
      </w:pPr>
    </w:p>
    <w:p w:rsidR="00250A66" w:rsidRPr="009C4415" w:rsidRDefault="00250A66" w:rsidP="00904D6D">
      <w:pPr>
        <w:jc w:val="center"/>
        <w:rPr>
          <w:b/>
          <w:bCs/>
        </w:rPr>
      </w:pPr>
    </w:p>
    <w:p w:rsidR="00904D6D" w:rsidRPr="009C4415" w:rsidRDefault="002B1718" w:rsidP="00904D6D">
      <w:pPr>
        <w:jc w:val="center"/>
        <w:rPr>
          <w:b/>
          <w:bCs/>
        </w:rPr>
      </w:pPr>
      <w:r w:rsidRPr="009C4415">
        <w:rPr>
          <w:b/>
          <w:bCs/>
        </w:rPr>
        <w:t>Rosmauli Jerimia Fitriani*, Ari Probandari**, Budiyanti Wiboworini***</w:t>
      </w:r>
    </w:p>
    <w:p w:rsidR="00A17296" w:rsidRPr="009C4415" w:rsidRDefault="002B1718" w:rsidP="00E2599A">
      <w:pPr>
        <w:jc w:val="center"/>
        <w:rPr>
          <w:sz w:val="18"/>
          <w:szCs w:val="18"/>
        </w:rPr>
      </w:pPr>
      <w:r w:rsidRPr="009C4415">
        <w:rPr>
          <w:sz w:val="18"/>
          <w:szCs w:val="18"/>
        </w:rPr>
        <w:t>* Human Nutrition, Postgraduate of UNS, Surakarta, Indonesia</w:t>
      </w:r>
    </w:p>
    <w:p w:rsidR="00904D6D" w:rsidRPr="009C4415" w:rsidRDefault="002B1718" w:rsidP="00E2599A">
      <w:pPr>
        <w:jc w:val="center"/>
        <w:rPr>
          <w:sz w:val="18"/>
          <w:szCs w:val="18"/>
        </w:rPr>
      </w:pPr>
      <w:r w:rsidRPr="009C4415">
        <w:rPr>
          <w:sz w:val="18"/>
          <w:szCs w:val="18"/>
        </w:rPr>
        <w:t>** Department of Public Health, Faculty of Medicine, UNS, Surakarta, Indonesia</w:t>
      </w:r>
    </w:p>
    <w:p w:rsidR="00943E54" w:rsidRPr="009C4415" w:rsidRDefault="002B1718" w:rsidP="00E2599A">
      <w:pPr>
        <w:jc w:val="center"/>
        <w:rPr>
          <w:sz w:val="18"/>
          <w:szCs w:val="18"/>
        </w:rPr>
      </w:pPr>
      <w:r w:rsidRPr="009C4415">
        <w:rPr>
          <w:sz w:val="18"/>
          <w:szCs w:val="18"/>
        </w:rPr>
        <w:t>*** Department of Human Nutrition, Faculty of Medicine, UNS, Surakarta, Indonesia</w:t>
      </w:r>
    </w:p>
    <w:p w:rsidR="00904D6D" w:rsidRPr="009C4415" w:rsidRDefault="00904D6D" w:rsidP="0088233C">
      <w:pPr>
        <w:jc w:val="center"/>
      </w:pPr>
    </w:p>
    <w:p w:rsidR="00C07BEF" w:rsidRPr="009C4415" w:rsidRDefault="00C07BEF" w:rsidP="0088233C">
      <w:pPr>
        <w:jc w:val="cente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812"/>
      </w:tblGrid>
      <w:tr w:rsidR="002B1718" w:rsidRPr="009C4415" w:rsidTr="00943E54">
        <w:tc>
          <w:tcPr>
            <w:tcW w:w="2802" w:type="dxa"/>
            <w:tcBorders>
              <w:top w:val="double" w:sz="4" w:space="0" w:color="auto"/>
              <w:left w:val="nil"/>
              <w:bottom w:val="single" w:sz="4" w:space="0" w:color="auto"/>
              <w:right w:val="nil"/>
            </w:tcBorders>
            <w:shd w:val="clear" w:color="auto" w:fill="auto"/>
          </w:tcPr>
          <w:p w:rsidR="00957C11" w:rsidRPr="009C4415" w:rsidRDefault="002B1718" w:rsidP="00943E54">
            <w:pPr>
              <w:spacing w:before="120"/>
              <w:jc w:val="both"/>
              <w:rPr>
                <w:b/>
              </w:rPr>
            </w:pPr>
            <w:r w:rsidRPr="009C4415">
              <w:rPr>
                <w:b/>
              </w:rPr>
              <w:t>Article Info</w:t>
            </w:r>
          </w:p>
        </w:tc>
        <w:tc>
          <w:tcPr>
            <w:tcW w:w="283" w:type="dxa"/>
            <w:tcBorders>
              <w:top w:val="double" w:sz="4" w:space="0" w:color="auto"/>
              <w:left w:val="nil"/>
              <w:bottom w:val="nil"/>
              <w:right w:val="nil"/>
            </w:tcBorders>
            <w:shd w:val="clear" w:color="auto" w:fill="auto"/>
          </w:tcPr>
          <w:p w:rsidR="00957C11" w:rsidRPr="009C4415" w:rsidRDefault="00957C11" w:rsidP="00943E54">
            <w:pPr>
              <w:spacing w:before="120"/>
              <w:jc w:val="center"/>
            </w:pPr>
          </w:p>
        </w:tc>
        <w:tc>
          <w:tcPr>
            <w:tcW w:w="5812" w:type="dxa"/>
            <w:tcBorders>
              <w:top w:val="double" w:sz="4" w:space="0" w:color="auto"/>
              <w:left w:val="nil"/>
              <w:bottom w:val="single" w:sz="4" w:space="0" w:color="auto"/>
              <w:right w:val="nil"/>
            </w:tcBorders>
            <w:shd w:val="clear" w:color="auto" w:fill="auto"/>
          </w:tcPr>
          <w:p w:rsidR="00957C11" w:rsidRPr="009C4415" w:rsidRDefault="002B1718" w:rsidP="00943E54">
            <w:pPr>
              <w:spacing w:before="120"/>
              <w:rPr>
                <w:color w:val="000000"/>
                <w:sz w:val="24"/>
                <w:szCs w:val="24"/>
              </w:rPr>
            </w:pPr>
            <w:r w:rsidRPr="009C4415">
              <w:rPr>
                <w:b/>
                <w:bCs/>
                <w:iCs/>
                <w:color w:val="000000"/>
              </w:rPr>
              <w:t xml:space="preserve">ABSTRACT </w:t>
            </w:r>
            <w:r w:rsidRPr="009C4415">
              <w:rPr>
                <w:sz w:val="18"/>
                <w:szCs w:val="18"/>
              </w:rPr>
              <w:t>(10 PT)</w:t>
            </w:r>
          </w:p>
        </w:tc>
      </w:tr>
      <w:tr w:rsidR="002B1718" w:rsidRPr="009C4415" w:rsidTr="00943E54">
        <w:trPr>
          <w:trHeight w:val="1268"/>
        </w:trPr>
        <w:tc>
          <w:tcPr>
            <w:tcW w:w="2802" w:type="dxa"/>
            <w:tcBorders>
              <w:top w:val="single" w:sz="4" w:space="0" w:color="auto"/>
              <w:left w:val="nil"/>
              <w:bottom w:val="single" w:sz="4" w:space="0" w:color="auto"/>
              <w:right w:val="nil"/>
            </w:tcBorders>
            <w:shd w:val="clear" w:color="auto" w:fill="auto"/>
          </w:tcPr>
          <w:p w:rsidR="00941203" w:rsidRPr="009C4415" w:rsidRDefault="002B1718" w:rsidP="00943E54">
            <w:pPr>
              <w:spacing w:before="120" w:after="120"/>
              <w:jc w:val="both"/>
              <w:rPr>
                <w:b/>
                <w:i/>
              </w:rPr>
            </w:pPr>
            <w:r w:rsidRPr="009C4415">
              <w:rPr>
                <w:b/>
                <w:i/>
              </w:rPr>
              <w:t>Article history:</w:t>
            </w:r>
          </w:p>
          <w:p w:rsidR="00941203" w:rsidRPr="009C4415" w:rsidRDefault="002B1718" w:rsidP="00943E54">
            <w:pPr>
              <w:jc w:val="both"/>
            </w:pPr>
            <w:r w:rsidRPr="009C4415">
              <w:t>Received Jun 12</w:t>
            </w:r>
            <w:r w:rsidRPr="009C4415">
              <w:rPr>
                <w:vertAlign w:val="superscript"/>
              </w:rPr>
              <w:t>th</w:t>
            </w:r>
            <w:r w:rsidRPr="009C4415">
              <w:t>, 201x</w:t>
            </w:r>
          </w:p>
          <w:p w:rsidR="00941203" w:rsidRPr="009C4415" w:rsidRDefault="002B1718" w:rsidP="00943E54">
            <w:pPr>
              <w:jc w:val="both"/>
            </w:pPr>
            <w:r w:rsidRPr="009C4415">
              <w:t>Revised Aug 20</w:t>
            </w:r>
            <w:r w:rsidRPr="009C4415">
              <w:rPr>
                <w:vertAlign w:val="superscript"/>
              </w:rPr>
              <w:t>th</w:t>
            </w:r>
            <w:r w:rsidRPr="009C4415">
              <w:t>, 201x</w:t>
            </w:r>
          </w:p>
          <w:p w:rsidR="00941203" w:rsidRPr="009C4415" w:rsidRDefault="002B1718" w:rsidP="00943E54">
            <w:pPr>
              <w:jc w:val="both"/>
            </w:pPr>
            <w:r w:rsidRPr="009C4415">
              <w:t>Accepted Aug 26</w:t>
            </w:r>
            <w:r w:rsidRPr="009C4415">
              <w:rPr>
                <w:vertAlign w:val="superscript"/>
              </w:rPr>
              <w:t>th</w:t>
            </w:r>
            <w:r w:rsidRPr="009C4415">
              <w:t>, 201x</w:t>
            </w:r>
          </w:p>
          <w:p w:rsidR="00941203" w:rsidRPr="009C4415" w:rsidRDefault="00941203" w:rsidP="00943E54">
            <w:pPr>
              <w:jc w:val="both"/>
            </w:pPr>
          </w:p>
        </w:tc>
        <w:tc>
          <w:tcPr>
            <w:tcW w:w="283" w:type="dxa"/>
            <w:vMerge w:val="restart"/>
            <w:tcBorders>
              <w:top w:val="nil"/>
              <w:left w:val="nil"/>
              <w:bottom w:val="nil"/>
              <w:right w:val="nil"/>
            </w:tcBorders>
            <w:shd w:val="clear" w:color="auto" w:fill="auto"/>
          </w:tcPr>
          <w:p w:rsidR="00941203" w:rsidRPr="009C4415" w:rsidRDefault="00941203" w:rsidP="00943E54">
            <w:pPr>
              <w:spacing w:before="120"/>
              <w:jc w:val="both"/>
            </w:pPr>
          </w:p>
        </w:tc>
        <w:tc>
          <w:tcPr>
            <w:tcW w:w="5812" w:type="dxa"/>
            <w:vMerge w:val="restart"/>
            <w:tcBorders>
              <w:top w:val="single" w:sz="4" w:space="0" w:color="auto"/>
              <w:left w:val="nil"/>
              <w:bottom w:val="nil"/>
              <w:right w:val="nil"/>
            </w:tcBorders>
            <w:shd w:val="clear" w:color="auto" w:fill="auto"/>
          </w:tcPr>
          <w:p w:rsidR="00941203" w:rsidRPr="009C4415" w:rsidRDefault="002B1718" w:rsidP="002B34AA">
            <w:pPr>
              <w:jc w:val="both"/>
              <w:rPr>
                <w:sz w:val="18"/>
                <w:szCs w:val="18"/>
              </w:rPr>
            </w:pPr>
            <w:r w:rsidRPr="009C4415">
              <w:rPr>
                <w:sz w:val="18"/>
                <w:szCs w:val="18"/>
              </w:rPr>
              <w:t xml:space="preserve">Background: Menstrual </w:t>
            </w:r>
            <w:r w:rsidR="00AE662C" w:rsidRPr="009C4415">
              <w:rPr>
                <w:sz w:val="18"/>
                <w:szCs w:val="18"/>
              </w:rPr>
              <w:t>cycles are</w:t>
            </w:r>
            <w:r w:rsidRPr="009C4415">
              <w:rPr>
                <w:sz w:val="18"/>
                <w:szCs w:val="18"/>
              </w:rPr>
              <w:t xml:space="preserve"> an important indicator of women's health. Menstrual cycles can be affected by BMI, sleep quality, and stress. Objective: To analyse the relationship between BMI, sleep quality, stress and the menstrual cycle. Method: The subjects of this research were the female adolescents at the age of at least 15 years old </w:t>
            </w:r>
            <w:r w:rsidR="009C4415" w:rsidRPr="009C4415">
              <w:rPr>
                <w:sz w:val="18"/>
                <w:szCs w:val="18"/>
              </w:rPr>
              <w:t>that</w:t>
            </w:r>
            <w:r w:rsidRPr="009C4415">
              <w:rPr>
                <w:sz w:val="18"/>
                <w:szCs w:val="18"/>
              </w:rPr>
              <w:t xml:space="preserve"> had experienced menstruation for at least 2 years. The dependent variable is the menstrual cycle while the independent variables are BMI, sleep quality, and stress conditions. Observational analytic research method with cross sectional design was used in this research. The subjects were 148 female students. The BMI data were obtained through the anthropometric measurement. The sleep quality data were taken with PSQI questionnaire, and the stress condition data obtained from PSS-10 questionnaire which were then analysed using Chi-Square test and Logistic Regression. Results: There is a significant relationship between BMI, sleep quality, stress conditions and the adolescent menstrual cycle. The results of the multivariate analysis showed that the female adolescents with abnormal BMI are at risk of having menstrual cycle disorders 1.91 times. The adolescents with poor sleep quality are at risk experiencing menstrual cycle disorders 2.05 times, and the adolescents with stress conditions at risk of the menstrual cycle disorders 2.26 times. Conclusion: </w:t>
            </w:r>
            <w:r w:rsidRPr="009C4415">
              <w:rPr>
                <w:color w:val="000000"/>
                <w:sz w:val="18"/>
                <w:szCs w:val="18"/>
              </w:rPr>
              <w:t>There is a relationship between BMI, sleep quality, stress conditions and the menstrual cycle.</w:t>
            </w:r>
            <w:r w:rsidRPr="009C4415">
              <w:rPr>
                <w:color w:val="000000"/>
                <w:sz w:val="18"/>
                <w:szCs w:val="18"/>
                <w:shd w:val="clear" w:color="auto" w:fill="FFFFFF"/>
              </w:rPr>
              <w:t xml:space="preserve"> Stress conditions most influence the regularity of the menstrual cycle.</w:t>
            </w:r>
          </w:p>
        </w:tc>
      </w:tr>
      <w:tr w:rsidR="002B1718" w:rsidRPr="009C4415" w:rsidTr="00943E54">
        <w:trPr>
          <w:trHeight w:val="1231"/>
        </w:trPr>
        <w:tc>
          <w:tcPr>
            <w:tcW w:w="2802" w:type="dxa"/>
            <w:vMerge w:val="restart"/>
            <w:tcBorders>
              <w:top w:val="single" w:sz="4" w:space="0" w:color="auto"/>
              <w:left w:val="nil"/>
              <w:bottom w:val="single" w:sz="4" w:space="0" w:color="auto"/>
              <w:right w:val="nil"/>
            </w:tcBorders>
            <w:shd w:val="clear" w:color="auto" w:fill="auto"/>
          </w:tcPr>
          <w:p w:rsidR="00941203" w:rsidRPr="009C4415" w:rsidRDefault="002B1718" w:rsidP="00943E54">
            <w:pPr>
              <w:spacing w:before="120" w:after="120"/>
              <w:jc w:val="both"/>
              <w:rPr>
                <w:b/>
                <w:i/>
              </w:rPr>
            </w:pPr>
            <w:r w:rsidRPr="009C4415">
              <w:rPr>
                <w:b/>
                <w:i/>
              </w:rPr>
              <w:t>Keywords:</w:t>
            </w:r>
          </w:p>
          <w:p w:rsidR="007031B1" w:rsidRPr="009C4415" w:rsidRDefault="002B1718" w:rsidP="00943E54">
            <w:pPr>
              <w:jc w:val="both"/>
            </w:pPr>
            <w:r w:rsidRPr="009C4415">
              <w:t>BMI</w:t>
            </w:r>
          </w:p>
          <w:p w:rsidR="007031B1" w:rsidRPr="009C4415" w:rsidRDefault="002B1718" w:rsidP="00943E54">
            <w:pPr>
              <w:jc w:val="both"/>
            </w:pPr>
            <w:r w:rsidRPr="009C4415">
              <w:t>Sleep Quality</w:t>
            </w:r>
          </w:p>
          <w:p w:rsidR="007031B1" w:rsidRPr="009C4415" w:rsidRDefault="002B1718" w:rsidP="00943E54">
            <w:pPr>
              <w:jc w:val="both"/>
            </w:pPr>
            <w:r w:rsidRPr="009C4415">
              <w:t>Stress</w:t>
            </w:r>
          </w:p>
          <w:p w:rsidR="007031B1" w:rsidRPr="009C4415" w:rsidRDefault="002B1718" w:rsidP="00943E54">
            <w:pPr>
              <w:jc w:val="both"/>
            </w:pPr>
            <w:r w:rsidRPr="009C4415">
              <w:t>Menstrual Cycle</w:t>
            </w:r>
          </w:p>
          <w:p w:rsidR="00941203" w:rsidRPr="009C4415" w:rsidRDefault="002B1718" w:rsidP="00943E54">
            <w:pPr>
              <w:jc w:val="both"/>
              <w:rPr>
                <w:b/>
                <w:i/>
              </w:rPr>
            </w:pPr>
            <w:r w:rsidRPr="009C4415">
              <w:t>Female Adolescent</w:t>
            </w:r>
          </w:p>
        </w:tc>
        <w:tc>
          <w:tcPr>
            <w:tcW w:w="283" w:type="dxa"/>
            <w:vMerge/>
            <w:tcBorders>
              <w:top w:val="nil"/>
              <w:left w:val="nil"/>
              <w:bottom w:val="nil"/>
              <w:right w:val="nil"/>
            </w:tcBorders>
            <w:shd w:val="clear" w:color="auto" w:fill="auto"/>
          </w:tcPr>
          <w:p w:rsidR="00941203" w:rsidRPr="009C4415" w:rsidRDefault="00941203" w:rsidP="00943E54">
            <w:pPr>
              <w:spacing w:before="120"/>
              <w:jc w:val="both"/>
            </w:pPr>
          </w:p>
        </w:tc>
        <w:tc>
          <w:tcPr>
            <w:tcW w:w="5812" w:type="dxa"/>
            <w:vMerge/>
            <w:tcBorders>
              <w:top w:val="nil"/>
              <w:left w:val="nil"/>
              <w:bottom w:val="nil"/>
              <w:right w:val="nil"/>
            </w:tcBorders>
            <w:shd w:val="clear" w:color="auto" w:fill="auto"/>
          </w:tcPr>
          <w:p w:rsidR="00941203" w:rsidRPr="009C4415" w:rsidRDefault="00941203" w:rsidP="00943E54">
            <w:pPr>
              <w:spacing w:before="120"/>
              <w:jc w:val="both"/>
              <w:rPr>
                <w:iCs/>
                <w:color w:val="000000"/>
                <w:sz w:val="18"/>
                <w:szCs w:val="18"/>
              </w:rPr>
            </w:pPr>
          </w:p>
        </w:tc>
      </w:tr>
      <w:tr w:rsidR="002B1718" w:rsidRPr="009C4415" w:rsidTr="00943E54">
        <w:trPr>
          <w:trHeight w:val="70"/>
        </w:trPr>
        <w:tc>
          <w:tcPr>
            <w:tcW w:w="2802" w:type="dxa"/>
            <w:vMerge/>
            <w:tcBorders>
              <w:top w:val="single" w:sz="4" w:space="0" w:color="auto"/>
              <w:left w:val="nil"/>
              <w:bottom w:val="single" w:sz="4" w:space="0" w:color="auto"/>
              <w:right w:val="nil"/>
            </w:tcBorders>
            <w:shd w:val="clear" w:color="auto" w:fill="auto"/>
          </w:tcPr>
          <w:p w:rsidR="00941203" w:rsidRPr="009C4415" w:rsidRDefault="00941203" w:rsidP="00943E54">
            <w:pPr>
              <w:spacing w:before="120" w:after="120"/>
              <w:jc w:val="both"/>
              <w:rPr>
                <w:b/>
                <w:i/>
              </w:rPr>
            </w:pPr>
          </w:p>
        </w:tc>
        <w:tc>
          <w:tcPr>
            <w:tcW w:w="283" w:type="dxa"/>
            <w:vMerge/>
            <w:tcBorders>
              <w:top w:val="nil"/>
              <w:left w:val="nil"/>
              <w:bottom w:val="nil"/>
              <w:right w:val="nil"/>
            </w:tcBorders>
            <w:shd w:val="clear" w:color="auto" w:fill="auto"/>
          </w:tcPr>
          <w:p w:rsidR="00941203" w:rsidRPr="009C4415" w:rsidRDefault="00941203" w:rsidP="00943E54">
            <w:pPr>
              <w:spacing w:before="120"/>
              <w:jc w:val="both"/>
            </w:pPr>
          </w:p>
        </w:tc>
        <w:tc>
          <w:tcPr>
            <w:tcW w:w="5812" w:type="dxa"/>
            <w:tcBorders>
              <w:top w:val="nil"/>
              <w:left w:val="nil"/>
              <w:bottom w:val="single" w:sz="4" w:space="0" w:color="auto"/>
              <w:right w:val="nil"/>
            </w:tcBorders>
            <w:shd w:val="clear" w:color="auto" w:fill="auto"/>
          </w:tcPr>
          <w:p w:rsidR="00941203" w:rsidRPr="009C4415" w:rsidRDefault="002B1718" w:rsidP="00943E54">
            <w:pPr>
              <w:spacing w:before="120" w:after="120"/>
              <w:jc w:val="right"/>
              <w:rPr>
                <w:i/>
                <w:iCs/>
                <w:color w:val="000000"/>
                <w:sz w:val="18"/>
                <w:szCs w:val="18"/>
              </w:rPr>
            </w:pPr>
            <w:r w:rsidRPr="009C4415">
              <w:rPr>
                <w:i/>
                <w:iCs/>
                <w:color w:val="000000"/>
                <w:sz w:val="18"/>
                <w:szCs w:val="18"/>
              </w:rPr>
              <w:t xml:space="preserve">Copyright © 201x Institute of Advanced Engineering and Science. </w:t>
            </w:r>
            <w:r w:rsidRPr="009C4415">
              <w:rPr>
                <w:i/>
                <w:iCs/>
                <w:color w:val="000000"/>
                <w:sz w:val="18"/>
                <w:szCs w:val="18"/>
              </w:rPr>
              <w:br/>
              <w:t>All rights reserved.</w:t>
            </w:r>
          </w:p>
        </w:tc>
      </w:tr>
      <w:tr w:rsidR="002B1718" w:rsidRPr="009C4415" w:rsidTr="00943E54">
        <w:tc>
          <w:tcPr>
            <w:tcW w:w="8897" w:type="dxa"/>
            <w:gridSpan w:val="3"/>
            <w:tcBorders>
              <w:top w:val="nil"/>
              <w:left w:val="nil"/>
              <w:bottom w:val="double" w:sz="4" w:space="0" w:color="auto"/>
              <w:right w:val="nil"/>
            </w:tcBorders>
            <w:shd w:val="clear" w:color="auto" w:fill="auto"/>
          </w:tcPr>
          <w:p w:rsidR="007F286F" w:rsidRPr="009C4415" w:rsidRDefault="002B1718" w:rsidP="00943E54">
            <w:pPr>
              <w:spacing w:before="120" w:after="120"/>
              <w:rPr>
                <w:b/>
                <w:i/>
              </w:rPr>
            </w:pPr>
            <w:r w:rsidRPr="009C4415">
              <w:rPr>
                <w:b/>
                <w:i/>
              </w:rPr>
              <w:t>Corresponding Author:</w:t>
            </w:r>
          </w:p>
          <w:p w:rsidR="007F286F" w:rsidRPr="009C4415" w:rsidRDefault="002B1718" w:rsidP="007F286F">
            <w:r w:rsidRPr="009C4415">
              <w:t xml:space="preserve">Third Author, </w:t>
            </w:r>
          </w:p>
          <w:p w:rsidR="007F286F" w:rsidRPr="009C4415" w:rsidRDefault="002B1718" w:rsidP="007F286F">
            <w:r w:rsidRPr="009C4415">
              <w:t>Department of Nutrition Health,</w:t>
            </w:r>
          </w:p>
          <w:p w:rsidR="007F286F" w:rsidRPr="009C4415" w:rsidRDefault="002B1718" w:rsidP="007F286F">
            <w:r w:rsidRPr="009C4415">
              <w:t>National Chung Cheng University,</w:t>
            </w:r>
          </w:p>
          <w:p w:rsidR="007F286F" w:rsidRPr="009C4415" w:rsidRDefault="002B1718" w:rsidP="007F286F">
            <w:r w:rsidRPr="009C4415">
              <w:t>168 University Road, Minhsiung Township, Chiayi County 62102, Taiwan, ROC.</w:t>
            </w:r>
          </w:p>
          <w:p w:rsidR="00941203" w:rsidRPr="009C4415" w:rsidRDefault="002B1718" w:rsidP="00943E54">
            <w:pPr>
              <w:spacing w:after="120"/>
              <w:rPr>
                <w:color w:val="000000"/>
                <w:sz w:val="18"/>
                <w:szCs w:val="18"/>
              </w:rPr>
            </w:pPr>
            <w:r w:rsidRPr="009C4415">
              <w:t>Email: lsntl@ccu.edu.tw</w:t>
            </w:r>
          </w:p>
        </w:tc>
      </w:tr>
    </w:tbl>
    <w:p w:rsidR="00957C11" w:rsidRPr="009C4415" w:rsidRDefault="00957C11" w:rsidP="00957C11">
      <w:pPr>
        <w:jc w:val="both"/>
      </w:pPr>
    </w:p>
    <w:p w:rsidR="00C07BEF" w:rsidRPr="009C4415" w:rsidRDefault="00C07BEF" w:rsidP="00957C11">
      <w:pPr>
        <w:jc w:val="both"/>
      </w:pPr>
    </w:p>
    <w:p w:rsidR="00137553" w:rsidRPr="009C4415" w:rsidRDefault="002B1718" w:rsidP="00137553">
      <w:pPr>
        <w:numPr>
          <w:ilvl w:val="0"/>
          <w:numId w:val="15"/>
        </w:numPr>
        <w:tabs>
          <w:tab w:val="left" w:pos="426"/>
        </w:tabs>
        <w:ind w:left="426" w:hanging="426"/>
        <w:rPr>
          <w:b/>
          <w:bCs/>
        </w:rPr>
      </w:pPr>
      <w:r w:rsidRPr="009C4415">
        <w:rPr>
          <w:b/>
          <w:bCs/>
        </w:rPr>
        <w:t>INTRODUCTION</w:t>
      </w:r>
    </w:p>
    <w:p w:rsidR="00137553" w:rsidRPr="009C4415" w:rsidRDefault="002B1718" w:rsidP="00A81B8B">
      <w:pPr>
        <w:tabs>
          <w:tab w:val="left" w:pos="0"/>
        </w:tabs>
        <w:ind w:firstLine="720"/>
        <w:jc w:val="both"/>
        <w:rPr>
          <w:b/>
          <w:bCs/>
        </w:rPr>
      </w:pPr>
      <w:r w:rsidRPr="009C4415">
        <w:rPr>
          <w:color w:val="000000"/>
        </w:rPr>
        <w:t>Adolescence is a period of transition from children to adulthood, which is accompanied by various hormonal, physical, social and psychological changes [1]. In women, menstruation will occur, which is then called the menstrual cycle. Menstrual cycles are an important indicator of women's health [2].</w:t>
      </w:r>
    </w:p>
    <w:p w:rsidR="00137553" w:rsidRPr="009C4415" w:rsidRDefault="002B1718" w:rsidP="00A81B8B">
      <w:pPr>
        <w:tabs>
          <w:tab w:val="left" w:pos="0"/>
        </w:tabs>
        <w:ind w:firstLine="720"/>
        <w:jc w:val="both"/>
        <w:rPr>
          <w:b/>
          <w:bCs/>
        </w:rPr>
      </w:pPr>
      <w:r w:rsidRPr="009C4415">
        <w:rPr>
          <w:color w:val="000000"/>
        </w:rPr>
        <w:t>Normal menstrual cycles depend on the hormonal actions and interactions released from the hypothalamus-pituitary-ovary and their effects on the endometrium [3]. Shortening the menstrual cycle which causes a shorter menstrual cycle (polimenore) is associated with a decrease in fertility and miscarriage while the lengthening of the menstrual cycle (oligomenorrhea) is associated with anovulation, infertility, and miscarriage [4].</w:t>
      </w:r>
    </w:p>
    <w:p w:rsidR="00F668DB" w:rsidRPr="009C4415" w:rsidRDefault="002B1718" w:rsidP="00A81B8B">
      <w:pPr>
        <w:tabs>
          <w:tab w:val="left" w:pos="0"/>
        </w:tabs>
        <w:ind w:firstLine="720"/>
        <w:jc w:val="both"/>
        <w:rPr>
          <w:rFonts w:eastAsia="Calibri"/>
          <w:color w:val="000000"/>
        </w:rPr>
      </w:pPr>
      <w:r w:rsidRPr="009C4415">
        <w:rPr>
          <w:color w:val="000000"/>
        </w:rPr>
        <w:t xml:space="preserve">Adolescence is a growth period where nutritional needs must be fulfilled to achieve optimal growth, where adequate nutritional intake can affect menstrual irregularities in adolescents [5]. Nutritional status is a body condition as a result of nutritional adequacy. Based on KEPMENKES [6] about the Anthropometric Standards </w:t>
      </w:r>
      <w:r w:rsidRPr="009C4415">
        <w:rPr>
          <w:color w:val="000000"/>
        </w:rPr>
        <w:lastRenderedPageBreak/>
        <w:t>Assessment of the Nutritional Status of Children and Adolescents, the nutritional status of adolescents is determined from the condition of the adolescent body which is calculated based on BMI/A.</w:t>
      </w:r>
    </w:p>
    <w:p w:rsidR="00137553" w:rsidRPr="009C4415" w:rsidRDefault="002B1718" w:rsidP="001F341A">
      <w:pPr>
        <w:tabs>
          <w:tab w:val="left" w:pos="0"/>
        </w:tabs>
        <w:ind w:firstLine="720"/>
        <w:jc w:val="both"/>
        <w:rPr>
          <w:rFonts w:eastAsia="Calibri"/>
          <w:color w:val="000000"/>
        </w:rPr>
      </w:pPr>
      <w:r w:rsidRPr="009C4415">
        <w:rPr>
          <w:color w:val="000000"/>
        </w:rPr>
        <w:t>Women who have experienced menstruation experience hormonal changes that not only affect reproduction but also body temperature, respiration, nervous system, mood, and sleep [7]. Sleep disorders are experienced by 62.9% of Indonesian adolescents aged 12-15 years [8]. Puberty can interfere with sleep, which can lead to delayed sleep and low sleep quality [9]. About one third of adolescents experience sleep disorders [</w:t>
      </w:r>
      <w:r w:rsidR="00D972B3">
        <w:rPr>
          <w:color w:val="000000"/>
        </w:rPr>
        <w:t>9</w:t>
      </w:r>
      <w:r w:rsidR="009C4415" w:rsidRPr="009C4415">
        <w:rPr>
          <w:color w:val="000000"/>
        </w:rPr>
        <w:t>]</w:t>
      </w:r>
      <w:r w:rsidRPr="009C4415">
        <w:rPr>
          <w:color w:val="000000"/>
        </w:rPr>
        <w:t xml:space="preserve"> and women are known to have a higher prevalenc</w:t>
      </w:r>
      <w:r w:rsidR="00D972B3">
        <w:rPr>
          <w:color w:val="000000"/>
        </w:rPr>
        <w:t>e of sleep disorders than men [10</w:t>
      </w:r>
      <w:r w:rsidRPr="009C4415">
        <w:rPr>
          <w:color w:val="000000"/>
        </w:rPr>
        <w:t>]. Sleep is related to the hormonal system and reprod</w:t>
      </w:r>
      <w:r w:rsidR="00D972B3">
        <w:rPr>
          <w:color w:val="000000"/>
        </w:rPr>
        <w:t>uctive function in women [9,11,12</w:t>
      </w:r>
      <w:r w:rsidRPr="009C4415">
        <w:rPr>
          <w:color w:val="000000"/>
        </w:rPr>
        <w:t>]. Female adolescents experience menstruation every month, where menstruation is related to the hypothalamus-hypophysical-pituitary. The pituitary hormone is</w:t>
      </w:r>
      <w:r w:rsidR="00D972B3">
        <w:rPr>
          <w:color w:val="000000"/>
        </w:rPr>
        <w:t xml:space="preserve"> excreted in sleep conditions [12</w:t>
      </w:r>
      <w:r w:rsidRPr="009C4415">
        <w:rPr>
          <w:color w:val="000000"/>
        </w:rPr>
        <w:t>].</w:t>
      </w:r>
    </w:p>
    <w:p w:rsidR="00904D6D" w:rsidRPr="009C4415" w:rsidRDefault="002B1718" w:rsidP="00A81B8B">
      <w:pPr>
        <w:tabs>
          <w:tab w:val="left" w:pos="0"/>
        </w:tabs>
        <w:ind w:firstLine="720"/>
        <w:jc w:val="both"/>
      </w:pPr>
      <w:r w:rsidRPr="009C4415">
        <w:rPr>
          <w:color w:val="000000"/>
        </w:rPr>
        <w:t>Stress is a non-specific body response and occurs when the body's needs are disturbed. The occurrence of stress can have an impact on physical, social, psychological, intellectual, and spiritual conditions. Stress that occurs for a long time can interfere with the physiol</w:t>
      </w:r>
      <w:r w:rsidR="00D972B3">
        <w:rPr>
          <w:color w:val="000000"/>
        </w:rPr>
        <w:t>ogical condition of the body [13</w:t>
      </w:r>
      <w:r w:rsidRPr="009C4415">
        <w:rPr>
          <w:color w:val="000000"/>
        </w:rPr>
        <w:t>]. This is due to the body secreting the antagonistic hormones with some of the body's hormones during stress, one of which is the hormone that plays a role in the menstrual cycle, namely GnRH (Gonadotropin Releasing Hormon</w:t>
      </w:r>
      <w:r w:rsidR="009C4415">
        <w:rPr>
          <w:color w:val="000000"/>
        </w:rPr>
        <w:t>e</w:t>
      </w:r>
      <w:r w:rsidRPr="009C4415">
        <w:rPr>
          <w:color w:val="000000"/>
        </w:rPr>
        <w:t>). Based on the background above, the researcher conducted further research to analyse the relationship between BMI, sleep quality, and stress conditions and the menstrual cycle of female adolescents.</w:t>
      </w:r>
      <w:r w:rsidRPr="009C4415">
        <w:t xml:space="preserve"> </w:t>
      </w:r>
    </w:p>
    <w:p w:rsidR="0010046E" w:rsidRPr="009C4415" w:rsidRDefault="0010046E" w:rsidP="0010046E">
      <w:pPr>
        <w:jc w:val="both"/>
      </w:pPr>
    </w:p>
    <w:p w:rsidR="00904D6D" w:rsidRPr="009C4415" w:rsidRDefault="002B1718" w:rsidP="00D74C5F">
      <w:pPr>
        <w:numPr>
          <w:ilvl w:val="0"/>
          <w:numId w:val="15"/>
        </w:numPr>
        <w:tabs>
          <w:tab w:val="left" w:pos="426"/>
        </w:tabs>
        <w:ind w:left="426" w:hanging="426"/>
        <w:rPr>
          <w:b/>
          <w:bCs/>
        </w:rPr>
      </w:pPr>
      <w:r w:rsidRPr="009C4415">
        <w:rPr>
          <w:b/>
          <w:bCs/>
        </w:rPr>
        <w:t>RESEARCH METHOD</w:t>
      </w:r>
    </w:p>
    <w:p w:rsidR="00A81B8B" w:rsidRPr="009C4415" w:rsidRDefault="002B1718" w:rsidP="00137553">
      <w:pPr>
        <w:tabs>
          <w:tab w:val="left" w:pos="0"/>
        </w:tabs>
        <w:ind w:firstLine="720"/>
        <w:jc w:val="both"/>
        <w:rPr>
          <w:rFonts w:eastAsia="Calibri"/>
          <w:color w:val="000000"/>
        </w:rPr>
      </w:pPr>
      <w:r w:rsidRPr="009C4415">
        <w:rPr>
          <w:color w:val="000000"/>
        </w:rPr>
        <w:t xml:space="preserve">The subjects of this research were the adolescents at the age of at least 15 years who had experienced menstruation for at least 2 years. The location of the research was in Magelang City, Central Java, Indonesia. The dependent variable is the menstrual cycle, and the independent variables are the Body Mass Index, sleep quality, and stress. The research method used was observational analytic using a cross-sectional design. The number of subjects was 148 students at the age of 15-17 years selected from 4 schools using cluster random sampling. </w:t>
      </w:r>
    </w:p>
    <w:p w:rsidR="00137553" w:rsidRPr="009C4415" w:rsidRDefault="002B1718" w:rsidP="00A62D08">
      <w:pPr>
        <w:tabs>
          <w:tab w:val="left" w:pos="0"/>
        </w:tabs>
        <w:ind w:firstLine="720"/>
        <w:jc w:val="both"/>
        <w:rPr>
          <w:rFonts w:eastAsia="Calibri"/>
          <w:color w:val="000000"/>
        </w:rPr>
      </w:pPr>
      <w:r w:rsidRPr="009C4415">
        <w:rPr>
          <w:color w:val="000000"/>
        </w:rPr>
        <w:t xml:space="preserve">The data of Body Mass Index (BMI) variable were obtained through direct anthropometric measurements. The sleep quality data were taken with the PSQI questionnaire, and the stress data were taken with the PSS-10 questionnaire. The body mass index is categorized as normal and abnormal while the quality of sleep </w:t>
      </w:r>
      <w:r w:rsidR="009C4415" w:rsidRPr="009C4415">
        <w:rPr>
          <w:color w:val="000000"/>
        </w:rPr>
        <w:t>is grouped</w:t>
      </w:r>
      <w:r w:rsidRPr="009C4415">
        <w:rPr>
          <w:color w:val="000000"/>
        </w:rPr>
        <w:t xml:space="preserve"> into good and bad categories, and the categorizations of stress are stressful and not stressful. The data were then analysed with bivariate analysis using the chi-square test while the multivariate analysis used logistic regression.</w:t>
      </w:r>
    </w:p>
    <w:p w:rsidR="0088233C" w:rsidRPr="009C4415" w:rsidRDefault="002B1718" w:rsidP="00A81B8B">
      <w:pPr>
        <w:ind w:firstLine="720"/>
        <w:jc w:val="both"/>
      </w:pPr>
      <w:r w:rsidRPr="009C4415">
        <w:t xml:space="preserve"> </w:t>
      </w:r>
    </w:p>
    <w:p w:rsidR="00A62D08" w:rsidRPr="009C4415" w:rsidRDefault="002B1718" w:rsidP="00A62D08">
      <w:pPr>
        <w:numPr>
          <w:ilvl w:val="0"/>
          <w:numId w:val="15"/>
        </w:numPr>
        <w:tabs>
          <w:tab w:val="left" w:pos="426"/>
        </w:tabs>
        <w:ind w:left="426" w:hanging="426"/>
        <w:rPr>
          <w:b/>
          <w:bCs/>
        </w:rPr>
      </w:pPr>
      <w:r w:rsidRPr="009C4415">
        <w:rPr>
          <w:b/>
          <w:bCs/>
        </w:rPr>
        <w:t>RESULTS AND ANALYSIS</w:t>
      </w:r>
    </w:p>
    <w:p w:rsidR="005F56C6" w:rsidRPr="009C4415" w:rsidRDefault="002B1718" w:rsidP="005F56C6">
      <w:pPr>
        <w:rPr>
          <w:b/>
          <w:bCs/>
        </w:rPr>
      </w:pPr>
      <w:r w:rsidRPr="009C4415">
        <w:rPr>
          <w:b/>
          <w:bCs/>
        </w:rPr>
        <w:t>3.1.  Respondents’ Characteristics</w:t>
      </w:r>
    </w:p>
    <w:p w:rsidR="00A81B8B" w:rsidRPr="009C4415" w:rsidRDefault="002B1718" w:rsidP="00A62D08">
      <w:pPr>
        <w:tabs>
          <w:tab w:val="left" w:pos="0"/>
        </w:tabs>
        <w:ind w:firstLine="720"/>
        <w:jc w:val="both"/>
        <w:rPr>
          <w:rFonts w:eastAsia="Calibri"/>
          <w:color w:val="000000"/>
        </w:rPr>
      </w:pPr>
      <w:r w:rsidRPr="009C4415">
        <w:rPr>
          <w:color w:val="000000"/>
        </w:rPr>
        <w:t>The number of samples was 148. 39.9% of the respondents were 15 years old; 46.6% were 16 years old; and 13.5% were 17 years old. More respondents were in the eleventh grade by 62.2% compared to those in the tenth grade of 37.8%. The Description of the respondents’ characteristics is shown in Table 1</w:t>
      </w:r>
    </w:p>
    <w:p w:rsidR="00A81B8B" w:rsidRPr="009C4415" w:rsidRDefault="00A81B8B" w:rsidP="00AE662C">
      <w:pPr>
        <w:contextualSpacing/>
        <w:jc w:val="center"/>
        <w:rPr>
          <w:bCs/>
          <w:color w:val="000000"/>
        </w:rPr>
      </w:pPr>
    </w:p>
    <w:p w:rsidR="005F56C6" w:rsidRPr="009C4415" w:rsidRDefault="002B1718" w:rsidP="00AE662C">
      <w:pPr>
        <w:contextualSpacing/>
        <w:jc w:val="center"/>
        <w:rPr>
          <w:bCs/>
          <w:color w:val="000000"/>
        </w:rPr>
      </w:pPr>
      <w:r w:rsidRPr="009C4415">
        <w:rPr>
          <w:bCs/>
          <w:color w:val="000000"/>
        </w:rPr>
        <w:t>Table 1. Respondents’ Characteristics</w:t>
      </w:r>
    </w:p>
    <w:tbl>
      <w:tblPr>
        <w:tblpPr w:leftFromText="180" w:rightFromText="180" w:vertAnchor="text" w:tblpXSpec="center" w:tblpY="1"/>
        <w:tblOverlap w:val="never"/>
        <w:tblW w:w="6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8"/>
        <w:gridCol w:w="1494"/>
        <w:gridCol w:w="1345"/>
      </w:tblGrid>
      <w:tr w:rsidR="002B1718" w:rsidRPr="009C4415" w:rsidTr="00C02EC6">
        <w:trPr>
          <w:trHeight w:val="191"/>
        </w:trPr>
        <w:tc>
          <w:tcPr>
            <w:tcW w:w="3698" w:type="dxa"/>
            <w:tcBorders>
              <w:left w:val="nil"/>
              <w:bottom w:val="single" w:sz="4" w:space="0" w:color="auto"/>
              <w:right w:val="nil"/>
            </w:tcBorders>
            <w:shd w:val="clear" w:color="auto" w:fill="auto"/>
          </w:tcPr>
          <w:p w:rsidR="005F56C6" w:rsidRPr="009C4415" w:rsidRDefault="002B1718" w:rsidP="005F56C6">
            <w:pPr>
              <w:autoSpaceDE w:val="0"/>
              <w:autoSpaceDN w:val="0"/>
              <w:adjustRightInd w:val="0"/>
              <w:ind w:right="60"/>
              <w:jc w:val="center"/>
              <w:rPr>
                <w:b/>
                <w:bCs/>
                <w:color w:val="000000"/>
                <w:sz w:val="16"/>
                <w:szCs w:val="16"/>
              </w:rPr>
            </w:pPr>
            <w:r w:rsidRPr="009C4415">
              <w:rPr>
                <w:b/>
                <w:bCs/>
                <w:color w:val="000000"/>
                <w:sz w:val="16"/>
                <w:szCs w:val="16"/>
              </w:rPr>
              <w:t>Variables</w:t>
            </w:r>
          </w:p>
        </w:tc>
        <w:tc>
          <w:tcPr>
            <w:tcW w:w="1494" w:type="dxa"/>
            <w:tcBorders>
              <w:left w:val="nil"/>
              <w:bottom w:val="single" w:sz="4" w:space="0" w:color="auto"/>
              <w:right w:val="nil"/>
            </w:tcBorders>
            <w:shd w:val="clear" w:color="auto" w:fill="auto"/>
          </w:tcPr>
          <w:p w:rsidR="005F56C6" w:rsidRPr="009C4415" w:rsidRDefault="002B1718" w:rsidP="005F56C6">
            <w:pPr>
              <w:autoSpaceDE w:val="0"/>
              <w:autoSpaceDN w:val="0"/>
              <w:adjustRightInd w:val="0"/>
              <w:ind w:right="60"/>
              <w:jc w:val="center"/>
              <w:rPr>
                <w:b/>
                <w:bCs/>
                <w:color w:val="000000"/>
                <w:sz w:val="16"/>
                <w:szCs w:val="16"/>
              </w:rPr>
            </w:pPr>
            <w:r w:rsidRPr="009C4415">
              <w:rPr>
                <w:b/>
                <w:bCs/>
                <w:color w:val="000000"/>
                <w:sz w:val="16"/>
                <w:szCs w:val="16"/>
              </w:rPr>
              <w:t>N</w:t>
            </w:r>
          </w:p>
        </w:tc>
        <w:tc>
          <w:tcPr>
            <w:tcW w:w="1345" w:type="dxa"/>
            <w:tcBorders>
              <w:left w:val="nil"/>
              <w:bottom w:val="single" w:sz="4" w:space="0" w:color="auto"/>
              <w:right w:val="nil"/>
            </w:tcBorders>
            <w:shd w:val="clear" w:color="auto" w:fill="auto"/>
          </w:tcPr>
          <w:p w:rsidR="005F56C6" w:rsidRPr="009C4415" w:rsidRDefault="002B1718" w:rsidP="005F56C6">
            <w:pPr>
              <w:tabs>
                <w:tab w:val="left" w:pos="1344"/>
              </w:tabs>
              <w:autoSpaceDE w:val="0"/>
              <w:autoSpaceDN w:val="0"/>
              <w:adjustRightInd w:val="0"/>
              <w:jc w:val="center"/>
              <w:rPr>
                <w:b/>
                <w:bCs/>
                <w:color w:val="000000"/>
                <w:sz w:val="16"/>
                <w:szCs w:val="16"/>
              </w:rPr>
            </w:pPr>
            <w:r w:rsidRPr="009C4415">
              <w:rPr>
                <w:b/>
                <w:bCs/>
                <w:color w:val="000000"/>
                <w:sz w:val="16"/>
                <w:szCs w:val="16"/>
              </w:rPr>
              <w:t>%</w:t>
            </w:r>
          </w:p>
        </w:tc>
      </w:tr>
      <w:tr w:rsidR="002B1718" w:rsidRPr="009C4415" w:rsidTr="00C02EC6">
        <w:trPr>
          <w:trHeight w:val="191"/>
        </w:trPr>
        <w:tc>
          <w:tcPr>
            <w:tcW w:w="3698" w:type="dxa"/>
            <w:tcBorders>
              <w:top w:val="nil"/>
              <w:left w:val="nil"/>
              <w:bottom w:val="nil"/>
              <w:right w:val="nil"/>
            </w:tcBorders>
            <w:shd w:val="clear" w:color="auto" w:fill="auto"/>
          </w:tcPr>
          <w:p w:rsidR="005F56C6" w:rsidRPr="009C4415" w:rsidRDefault="002B1718" w:rsidP="005F56C6">
            <w:pPr>
              <w:autoSpaceDE w:val="0"/>
              <w:autoSpaceDN w:val="0"/>
              <w:adjustRightInd w:val="0"/>
              <w:ind w:right="60"/>
              <w:rPr>
                <w:bCs/>
                <w:color w:val="000000"/>
                <w:sz w:val="16"/>
                <w:szCs w:val="16"/>
              </w:rPr>
            </w:pPr>
            <w:r w:rsidRPr="009C4415">
              <w:rPr>
                <w:bCs/>
                <w:color w:val="000000"/>
                <w:sz w:val="16"/>
                <w:szCs w:val="16"/>
              </w:rPr>
              <w:t>Age</w:t>
            </w:r>
          </w:p>
        </w:tc>
        <w:tc>
          <w:tcPr>
            <w:tcW w:w="1494" w:type="dxa"/>
            <w:tcBorders>
              <w:top w:val="nil"/>
              <w:left w:val="nil"/>
              <w:bottom w:val="nil"/>
              <w:right w:val="nil"/>
            </w:tcBorders>
            <w:shd w:val="clear" w:color="auto" w:fill="auto"/>
          </w:tcPr>
          <w:p w:rsidR="005F56C6" w:rsidRPr="009C4415" w:rsidRDefault="005F56C6" w:rsidP="005F56C6">
            <w:pPr>
              <w:autoSpaceDE w:val="0"/>
              <w:autoSpaceDN w:val="0"/>
              <w:adjustRightInd w:val="0"/>
              <w:ind w:right="60"/>
              <w:jc w:val="center"/>
              <w:rPr>
                <w:bCs/>
                <w:color w:val="000000"/>
                <w:sz w:val="16"/>
                <w:szCs w:val="16"/>
                <w:lang w:eastAsia="id-ID"/>
              </w:rPr>
            </w:pPr>
          </w:p>
        </w:tc>
        <w:tc>
          <w:tcPr>
            <w:tcW w:w="1345" w:type="dxa"/>
            <w:tcBorders>
              <w:top w:val="nil"/>
              <w:left w:val="nil"/>
              <w:bottom w:val="nil"/>
              <w:right w:val="nil"/>
            </w:tcBorders>
            <w:shd w:val="clear" w:color="auto" w:fill="auto"/>
          </w:tcPr>
          <w:p w:rsidR="005F56C6" w:rsidRPr="009C4415" w:rsidRDefault="005F56C6" w:rsidP="005F56C6">
            <w:pPr>
              <w:autoSpaceDE w:val="0"/>
              <w:autoSpaceDN w:val="0"/>
              <w:adjustRightInd w:val="0"/>
              <w:ind w:right="60"/>
              <w:jc w:val="center"/>
              <w:rPr>
                <w:bCs/>
                <w:color w:val="000000"/>
                <w:sz w:val="16"/>
                <w:szCs w:val="16"/>
                <w:lang w:eastAsia="id-ID"/>
              </w:rPr>
            </w:pPr>
          </w:p>
        </w:tc>
      </w:tr>
      <w:tr w:rsidR="002B1718" w:rsidRPr="009C4415" w:rsidTr="00C02EC6">
        <w:trPr>
          <w:trHeight w:val="191"/>
        </w:trPr>
        <w:tc>
          <w:tcPr>
            <w:tcW w:w="3698" w:type="dxa"/>
            <w:tcBorders>
              <w:top w:val="nil"/>
              <w:left w:val="nil"/>
              <w:bottom w:val="nil"/>
              <w:right w:val="nil"/>
            </w:tcBorders>
            <w:shd w:val="clear" w:color="auto" w:fill="auto"/>
          </w:tcPr>
          <w:p w:rsidR="005F56C6" w:rsidRPr="009C4415" w:rsidRDefault="002B1718" w:rsidP="005F56C6">
            <w:pPr>
              <w:autoSpaceDE w:val="0"/>
              <w:autoSpaceDN w:val="0"/>
              <w:adjustRightInd w:val="0"/>
              <w:ind w:right="60" w:firstLine="426"/>
              <w:rPr>
                <w:color w:val="000000"/>
                <w:sz w:val="16"/>
                <w:szCs w:val="16"/>
              </w:rPr>
            </w:pPr>
            <w:r w:rsidRPr="009C4415">
              <w:rPr>
                <w:color w:val="000000"/>
                <w:sz w:val="16"/>
                <w:szCs w:val="16"/>
              </w:rPr>
              <w:t>15 years old</w:t>
            </w:r>
          </w:p>
        </w:tc>
        <w:tc>
          <w:tcPr>
            <w:tcW w:w="1494" w:type="dxa"/>
            <w:tcBorders>
              <w:top w:val="nil"/>
              <w:left w:val="nil"/>
              <w:bottom w:val="nil"/>
              <w:right w:val="nil"/>
            </w:tcBorders>
            <w:shd w:val="clear" w:color="auto" w:fill="auto"/>
          </w:tcPr>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59</w:t>
            </w:r>
          </w:p>
        </w:tc>
        <w:tc>
          <w:tcPr>
            <w:tcW w:w="1345" w:type="dxa"/>
            <w:tcBorders>
              <w:top w:val="nil"/>
              <w:left w:val="nil"/>
              <w:bottom w:val="nil"/>
              <w:right w:val="nil"/>
            </w:tcBorders>
            <w:shd w:val="clear" w:color="auto" w:fill="auto"/>
          </w:tcPr>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39.9</w:t>
            </w:r>
          </w:p>
        </w:tc>
      </w:tr>
      <w:tr w:rsidR="002B1718" w:rsidRPr="009C4415" w:rsidTr="00C02EC6">
        <w:trPr>
          <w:trHeight w:val="370"/>
        </w:trPr>
        <w:tc>
          <w:tcPr>
            <w:tcW w:w="3698" w:type="dxa"/>
            <w:tcBorders>
              <w:top w:val="nil"/>
              <w:left w:val="nil"/>
              <w:bottom w:val="nil"/>
              <w:right w:val="nil"/>
            </w:tcBorders>
            <w:shd w:val="clear" w:color="auto" w:fill="auto"/>
          </w:tcPr>
          <w:p w:rsidR="005F56C6" w:rsidRPr="009C4415" w:rsidRDefault="002B1718" w:rsidP="005F56C6">
            <w:pPr>
              <w:autoSpaceDE w:val="0"/>
              <w:autoSpaceDN w:val="0"/>
              <w:adjustRightInd w:val="0"/>
              <w:ind w:right="60" w:firstLine="426"/>
              <w:rPr>
                <w:bCs/>
                <w:color w:val="000000"/>
                <w:sz w:val="16"/>
                <w:szCs w:val="16"/>
              </w:rPr>
            </w:pPr>
            <w:r w:rsidRPr="009C4415">
              <w:rPr>
                <w:bCs/>
                <w:color w:val="000000"/>
                <w:sz w:val="16"/>
                <w:szCs w:val="16"/>
              </w:rPr>
              <w:t>16 years old</w:t>
            </w:r>
          </w:p>
          <w:p w:rsidR="005F56C6" w:rsidRPr="009C4415" w:rsidRDefault="002B1718" w:rsidP="005F56C6">
            <w:pPr>
              <w:autoSpaceDE w:val="0"/>
              <w:autoSpaceDN w:val="0"/>
              <w:adjustRightInd w:val="0"/>
              <w:ind w:right="60" w:firstLine="426"/>
              <w:rPr>
                <w:color w:val="000000"/>
                <w:sz w:val="16"/>
                <w:szCs w:val="16"/>
              </w:rPr>
            </w:pPr>
            <w:r w:rsidRPr="009C4415">
              <w:rPr>
                <w:bCs/>
                <w:color w:val="000000"/>
                <w:sz w:val="16"/>
                <w:szCs w:val="16"/>
              </w:rPr>
              <w:t>17 years old</w:t>
            </w:r>
          </w:p>
        </w:tc>
        <w:tc>
          <w:tcPr>
            <w:tcW w:w="1494" w:type="dxa"/>
            <w:tcBorders>
              <w:top w:val="nil"/>
              <w:left w:val="nil"/>
              <w:bottom w:val="nil"/>
              <w:right w:val="nil"/>
            </w:tcBorders>
            <w:shd w:val="clear" w:color="auto" w:fill="auto"/>
          </w:tcPr>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69</w:t>
            </w:r>
          </w:p>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20</w:t>
            </w:r>
          </w:p>
        </w:tc>
        <w:tc>
          <w:tcPr>
            <w:tcW w:w="1345" w:type="dxa"/>
            <w:tcBorders>
              <w:top w:val="nil"/>
              <w:left w:val="nil"/>
              <w:bottom w:val="nil"/>
              <w:right w:val="nil"/>
            </w:tcBorders>
            <w:shd w:val="clear" w:color="auto" w:fill="auto"/>
          </w:tcPr>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46.6</w:t>
            </w:r>
          </w:p>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13.5</w:t>
            </w:r>
          </w:p>
        </w:tc>
      </w:tr>
      <w:tr w:rsidR="002B1718" w:rsidRPr="009C4415" w:rsidTr="00C02EC6">
        <w:trPr>
          <w:trHeight w:val="191"/>
        </w:trPr>
        <w:tc>
          <w:tcPr>
            <w:tcW w:w="3698" w:type="dxa"/>
            <w:tcBorders>
              <w:top w:val="nil"/>
              <w:left w:val="nil"/>
              <w:bottom w:val="nil"/>
              <w:right w:val="nil"/>
            </w:tcBorders>
            <w:shd w:val="clear" w:color="auto" w:fill="auto"/>
          </w:tcPr>
          <w:p w:rsidR="005F56C6" w:rsidRPr="009C4415" w:rsidRDefault="002B1718" w:rsidP="005F56C6">
            <w:pPr>
              <w:autoSpaceDE w:val="0"/>
              <w:autoSpaceDN w:val="0"/>
              <w:adjustRightInd w:val="0"/>
              <w:ind w:right="60"/>
              <w:rPr>
                <w:color w:val="000000"/>
                <w:sz w:val="16"/>
                <w:szCs w:val="16"/>
              </w:rPr>
            </w:pPr>
            <w:r w:rsidRPr="009C4415">
              <w:rPr>
                <w:bCs/>
                <w:color w:val="000000"/>
                <w:sz w:val="16"/>
                <w:szCs w:val="16"/>
              </w:rPr>
              <w:t>Classes</w:t>
            </w:r>
          </w:p>
        </w:tc>
        <w:tc>
          <w:tcPr>
            <w:tcW w:w="1494" w:type="dxa"/>
            <w:tcBorders>
              <w:top w:val="nil"/>
              <w:left w:val="nil"/>
              <w:bottom w:val="nil"/>
              <w:right w:val="nil"/>
            </w:tcBorders>
            <w:shd w:val="clear" w:color="auto" w:fill="auto"/>
          </w:tcPr>
          <w:p w:rsidR="005F56C6" w:rsidRPr="009C4415" w:rsidRDefault="005F56C6" w:rsidP="005F56C6">
            <w:pPr>
              <w:autoSpaceDE w:val="0"/>
              <w:autoSpaceDN w:val="0"/>
              <w:adjustRightInd w:val="0"/>
              <w:ind w:left="60" w:right="60"/>
              <w:jc w:val="center"/>
              <w:rPr>
                <w:color w:val="000000"/>
                <w:sz w:val="16"/>
                <w:szCs w:val="16"/>
                <w:lang w:eastAsia="id-ID"/>
              </w:rPr>
            </w:pPr>
          </w:p>
        </w:tc>
        <w:tc>
          <w:tcPr>
            <w:tcW w:w="1345" w:type="dxa"/>
            <w:tcBorders>
              <w:top w:val="nil"/>
              <w:left w:val="nil"/>
              <w:bottom w:val="nil"/>
              <w:right w:val="nil"/>
            </w:tcBorders>
            <w:shd w:val="clear" w:color="auto" w:fill="auto"/>
          </w:tcPr>
          <w:p w:rsidR="005F56C6" w:rsidRPr="009C4415" w:rsidRDefault="005F56C6" w:rsidP="005F56C6">
            <w:pPr>
              <w:autoSpaceDE w:val="0"/>
              <w:autoSpaceDN w:val="0"/>
              <w:adjustRightInd w:val="0"/>
              <w:ind w:left="60" w:right="60"/>
              <w:jc w:val="center"/>
              <w:rPr>
                <w:color w:val="000000"/>
                <w:sz w:val="16"/>
                <w:szCs w:val="16"/>
                <w:lang w:eastAsia="id-ID"/>
              </w:rPr>
            </w:pPr>
          </w:p>
        </w:tc>
      </w:tr>
      <w:tr w:rsidR="002B1718" w:rsidRPr="009C4415" w:rsidTr="00AE662C">
        <w:trPr>
          <w:trHeight w:val="370"/>
        </w:trPr>
        <w:tc>
          <w:tcPr>
            <w:tcW w:w="3698" w:type="dxa"/>
            <w:tcBorders>
              <w:top w:val="nil"/>
              <w:left w:val="nil"/>
              <w:bottom w:val="nil"/>
              <w:right w:val="nil"/>
            </w:tcBorders>
            <w:shd w:val="clear" w:color="auto" w:fill="auto"/>
          </w:tcPr>
          <w:p w:rsidR="005F56C6" w:rsidRPr="009C4415" w:rsidRDefault="002B1718" w:rsidP="005F56C6">
            <w:pPr>
              <w:autoSpaceDE w:val="0"/>
              <w:autoSpaceDN w:val="0"/>
              <w:adjustRightInd w:val="0"/>
              <w:ind w:right="60" w:firstLine="426"/>
              <w:rPr>
                <w:color w:val="000000"/>
                <w:sz w:val="16"/>
                <w:szCs w:val="16"/>
              </w:rPr>
            </w:pPr>
            <w:r w:rsidRPr="009C4415">
              <w:rPr>
                <w:color w:val="000000"/>
                <w:sz w:val="16"/>
                <w:szCs w:val="16"/>
              </w:rPr>
              <w:t>X</w:t>
            </w:r>
          </w:p>
          <w:p w:rsidR="005F56C6" w:rsidRPr="009C4415" w:rsidRDefault="002B1718" w:rsidP="005F56C6">
            <w:pPr>
              <w:autoSpaceDE w:val="0"/>
              <w:autoSpaceDN w:val="0"/>
              <w:adjustRightInd w:val="0"/>
              <w:ind w:right="60" w:firstLine="426"/>
              <w:rPr>
                <w:color w:val="000000"/>
                <w:sz w:val="16"/>
                <w:szCs w:val="16"/>
              </w:rPr>
            </w:pPr>
            <w:r w:rsidRPr="009C4415">
              <w:rPr>
                <w:color w:val="000000"/>
                <w:sz w:val="16"/>
                <w:szCs w:val="16"/>
              </w:rPr>
              <w:t>XI</w:t>
            </w:r>
          </w:p>
        </w:tc>
        <w:tc>
          <w:tcPr>
            <w:tcW w:w="1494" w:type="dxa"/>
            <w:tcBorders>
              <w:top w:val="nil"/>
              <w:left w:val="nil"/>
              <w:bottom w:val="nil"/>
              <w:right w:val="nil"/>
            </w:tcBorders>
            <w:shd w:val="clear" w:color="auto" w:fill="auto"/>
          </w:tcPr>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56</w:t>
            </w:r>
          </w:p>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92</w:t>
            </w:r>
          </w:p>
        </w:tc>
        <w:tc>
          <w:tcPr>
            <w:tcW w:w="1345" w:type="dxa"/>
            <w:tcBorders>
              <w:top w:val="nil"/>
              <w:left w:val="nil"/>
              <w:bottom w:val="nil"/>
              <w:right w:val="nil"/>
            </w:tcBorders>
            <w:shd w:val="clear" w:color="auto" w:fill="auto"/>
          </w:tcPr>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37.8</w:t>
            </w:r>
          </w:p>
          <w:p w:rsidR="005F56C6" w:rsidRPr="009C4415" w:rsidRDefault="002B1718" w:rsidP="005F56C6">
            <w:pPr>
              <w:autoSpaceDE w:val="0"/>
              <w:autoSpaceDN w:val="0"/>
              <w:adjustRightInd w:val="0"/>
              <w:ind w:left="60" w:right="60"/>
              <w:jc w:val="center"/>
              <w:rPr>
                <w:color w:val="000000"/>
                <w:sz w:val="16"/>
                <w:szCs w:val="16"/>
              </w:rPr>
            </w:pPr>
            <w:r w:rsidRPr="009C4415">
              <w:rPr>
                <w:color w:val="000000"/>
                <w:sz w:val="16"/>
                <w:szCs w:val="16"/>
              </w:rPr>
              <w:t>62.2</w:t>
            </w:r>
          </w:p>
        </w:tc>
      </w:tr>
      <w:tr w:rsidR="002B1718" w:rsidRPr="009C4415" w:rsidTr="00AE662C">
        <w:trPr>
          <w:trHeight w:val="700"/>
        </w:trPr>
        <w:tc>
          <w:tcPr>
            <w:tcW w:w="3698" w:type="dxa"/>
            <w:tcBorders>
              <w:top w:val="nil"/>
              <w:left w:val="nil"/>
              <w:bottom w:val="single" w:sz="4" w:space="0" w:color="auto"/>
              <w:right w:val="nil"/>
            </w:tcBorders>
            <w:shd w:val="clear" w:color="auto" w:fill="auto"/>
          </w:tcPr>
          <w:p w:rsidR="005F56C6" w:rsidRPr="009C4415" w:rsidRDefault="002B1718" w:rsidP="00A62D08">
            <w:pPr>
              <w:autoSpaceDE w:val="0"/>
              <w:autoSpaceDN w:val="0"/>
              <w:adjustRightInd w:val="0"/>
              <w:ind w:right="58"/>
              <w:rPr>
                <w:color w:val="000000"/>
                <w:sz w:val="16"/>
                <w:szCs w:val="16"/>
              </w:rPr>
            </w:pPr>
            <w:r w:rsidRPr="009C4415">
              <w:rPr>
                <w:color w:val="000000"/>
                <w:sz w:val="16"/>
                <w:szCs w:val="16"/>
              </w:rPr>
              <w:t>The Age of Menarche</w:t>
            </w:r>
          </w:p>
          <w:p w:rsidR="005F56C6" w:rsidRPr="009C4415" w:rsidRDefault="002B1718" w:rsidP="00A62D08">
            <w:pPr>
              <w:autoSpaceDE w:val="0"/>
              <w:autoSpaceDN w:val="0"/>
              <w:adjustRightInd w:val="0"/>
              <w:ind w:right="58" w:firstLine="426"/>
              <w:rPr>
                <w:color w:val="000000"/>
                <w:sz w:val="16"/>
                <w:szCs w:val="16"/>
              </w:rPr>
            </w:pPr>
            <w:r w:rsidRPr="009C4415">
              <w:rPr>
                <w:color w:val="000000"/>
                <w:sz w:val="16"/>
                <w:szCs w:val="16"/>
              </w:rPr>
              <w:t>&lt; 11 years old</w:t>
            </w:r>
          </w:p>
          <w:p w:rsidR="005F56C6" w:rsidRPr="009C4415" w:rsidRDefault="002B1718" w:rsidP="00A62D08">
            <w:pPr>
              <w:autoSpaceDE w:val="0"/>
              <w:autoSpaceDN w:val="0"/>
              <w:adjustRightInd w:val="0"/>
              <w:ind w:right="58" w:firstLine="426"/>
              <w:rPr>
                <w:color w:val="000000"/>
                <w:sz w:val="16"/>
                <w:szCs w:val="16"/>
              </w:rPr>
            </w:pPr>
            <w:r w:rsidRPr="009C4415">
              <w:rPr>
                <w:color w:val="000000"/>
                <w:sz w:val="16"/>
                <w:szCs w:val="16"/>
              </w:rPr>
              <w:t>11 – 14 years old</w:t>
            </w:r>
          </w:p>
          <w:p w:rsidR="005F56C6" w:rsidRPr="009C4415" w:rsidRDefault="002B1718" w:rsidP="00A62D08">
            <w:pPr>
              <w:autoSpaceDE w:val="0"/>
              <w:autoSpaceDN w:val="0"/>
              <w:adjustRightInd w:val="0"/>
              <w:ind w:right="58" w:firstLine="426"/>
              <w:rPr>
                <w:color w:val="000000"/>
                <w:sz w:val="16"/>
                <w:szCs w:val="16"/>
              </w:rPr>
            </w:pPr>
            <w:r w:rsidRPr="009C4415">
              <w:rPr>
                <w:color w:val="000000"/>
                <w:sz w:val="16"/>
                <w:szCs w:val="16"/>
              </w:rPr>
              <w:t>&gt; 14 years old</w:t>
            </w:r>
          </w:p>
        </w:tc>
        <w:tc>
          <w:tcPr>
            <w:tcW w:w="1494" w:type="dxa"/>
            <w:tcBorders>
              <w:top w:val="nil"/>
              <w:left w:val="nil"/>
              <w:bottom w:val="single" w:sz="4" w:space="0" w:color="auto"/>
              <w:right w:val="nil"/>
            </w:tcBorders>
            <w:shd w:val="clear" w:color="auto" w:fill="auto"/>
          </w:tcPr>
          <w:p w:rsidR="005F56C6" w:rsidRPr="009C4415" w:rsidRDefault="005F56C6" w:rsidP="00A62D08">
            <w:pPr>
              <w:autoSpaceDE w:val="0"/>
              <w:autoSpaceDN w:val="0"/>
              <w:adjustRightInd w:val="0"/>
              <w:ind w:left="60" w:right="58"/>
              <w:jc w:val="center"/>
              <w:rPr>
                <w:color w:val="000000"/>
                <w:sz w:val="16"/>
                <w:szCs w:val="16"/>
                <w:lang w:eastAsia="id-ID"/>
              </w:rPr>
            </w:pPr>
          </w:p>
          <w:p w:rsidR="005F56C6" w:rsidRPr="009C4415" w:rsidRDefault="002B1718" w:rsidP="00A62D08">
            <w:pPr>
              <w:autoSpaceDE w:val="0"/>
              <w:autoSpaceDN w:val="0"/>
              <w:adjustRightInd w:val="0"/>
              <w:ind w:left="60" w:right="58"/>
              <w:jc w:val="center"/>
              <w:rPr>
                <w:color w:val="000000"/>
                <w:sz w:val="16"/>
                <w:szCs w:val="16"/>
              </w:rPr>
            </w:pPr>
            <w:r w:rsidRPr="009C4415">
              <w:rPr>
                <w:color w:val="000000"/>
                <w:sz w:val="16"/>
                <w:szCs w:val="16"/>
              </w:rPr>
              <w:t>22</w:t>
            </w:r>
          </w:p>
          <w:p w:rsidR="005F56C6" w:rsidRPr="009C4415" w:rsidRDefault="002B1718" w:rsidP="00A62D08">
            <w:pPr>
              <w:autoSpaceDE w:val="0"/>
              <w:autoSpaceDN w:val="0"/>
              <w:adjustRightInd w:val="0"/>
              <w:ind w:left="60" w:right="58"/>
              <w:jc w:val="center"/>
              <w:rPr>
                <w:color w:val="000000"/>
                <w:sz w:val="16"/>
                <w:szCs w:val="16"/>
              </w:rPr>
            </w:pPr>
            <w:r w:rsidRPr="009C4415">
              <w:rPr>
                <w:color w:val="000000"/>
                <w:sz w:val="16"/>
                <w:szCs w:val="16"/>
              </w:rPr>
              <w:t>124</w:t>
            </w:r>
          </w:p>
          <w:p w:rsidR="005F56C6" w:rsidRPr="009C4415" w:rsidRDefault="002B1718" w:rsidP="00AE662C">
            <w:pPr>
              <w:autoSpaceDE w:val="0"/>
              <w:autoSpaceDN w:val="0"/>
              <w:adjustRightInd w:val="0"/>
              <w:ind w:left="60" w:right="58"/>
              <w:jc w:val="center"/>
              <w:rPr>
                <w:color w:val="000000"/>
                <w:sz w:val="16"/>
                <w:szCs w:val="16"/>
              </w:rPr>
            </w:pPr>
            <w:r w:rsidRPr="009C4415">
              <w:rPr>
                <w:color w:val="000000"/>
                <w:sz w:val="16"/>
                <w:szCs w:val="16"/>
              </w:rPr>
              <w:t>2</w:t>
            </w:r>
          </w:p>
        </w:tc>
        <w:tc>
          <w:tcPr>
            <w:tcW w:w="1345" w:type="dxa"/>
            <w:tcBorders>
              <w:top w:val="nil"/>
              <w:left w:val="nil"/>
              <w:bottom w:val="single" w:sz="4" w:space="0" w:color="auto"/>
              <w:right w:val="nil"/>
            </w:tcBorders>
            <w:shd w:val="clear" w:color="auto" w:fill="auto"/>
          </w:tcPr>
          <w:p w:rsidR="005F56C6" w:rsidRPr="009C4415" w:rsidRDefault="005F56C6" w:rsidP="00A62D08">
            <w:pPr>
              <w:autoSpaceDE w:val="0"/>
              <w:autoSpaceDN w:val="0"/>
              <w:adjustRightInd w:val="0"/>
              <w:ind w:right="58"/>
              <w:rPr>
                <w:color w:val="000000"/>
                <w:sz w:val="16"/>
                <w:szCs w:val="16"/>
                <w:lang w:eastAsia="id-ID"/>
              </w:rPr>
            </w:pPr>
          </w:p>
          <w:p w:rsidR="005F56C6" w:rsidRPr="009C4415" w:rsidRDefault="002B1718" w:rsidP="00A62D08">
            <w:pPr>
              <w:autoSpaceDE w:val="0"/>
              <w:autoSpaceDN w:val="0"/>
              <w:adjustRightInd w:val="0"/>
              <w:ind w:left="60" w:right="58"/>
              <w:jc w:val="center"/>
              <w:rPr>
                <w:color w:val="000000"/>
                <w:sz w:val="16"/>
                <w:szCs w:val="16"/>
              </w:rPr>
            </w:pPr>
            <w:r w:rsidRPr="009C4415">
              <w:rPr>
                <w:color w:val="000000"/>
                <w:sz w:val="16"/>
                <w:szCs w:val="16"/>
              </w:rPr>
              <w:t>14.9</w:t>
            </w:r>
          </w:p>
          <w:p w:rsidR="005F56C6" w:rsidRPr="009C4415" w:rsidRDefault="002B1718" w:rsidP="00A62D08">
            <w:pPr>
              <w:autoSpaceDE w:val="0"/>
              <w:autoSpaceDN w:val="0"/>
              <w:adjustRightInd w:val="0"/>
              <w:ind w:left="60" w:right="58"/>
              <w:jc w:val="center"/>
              <w:rPr>
                <w:color w:val="000000"/>
                <w:sz w:val="16"/>
                <w:szCs w:val="16"/>
              </w:rPr>
            </w:pPr>
            <w:r w:rsidRPr="009C4415">
              <w:rPr>
                <w:color w:val="000000"/>
                <w:sz w:val="16"/>
                <w:szCs w:val="16"/>
              </w:rPr>
              <w:t>83.8</w:t>
            </w:r>
          </w:p>
          <w:p w:rsidR="005F56C6" w:rsidRPr="009C4415" w:rsidRDefault="002B1718" w:rsidP="00A62D08">
            <w:pPr>
              <w:autoSpaceDE w:val="0"/>
              <w:autoSpaceDN w:val="0"/>
              <w:adjustRightInd w:val="0"/>
              <w:ind w:left="60" w:right="58"/>
              <w:jc w:val="center"/>
              <w:rPr>
                <w:color w:val="000000"/>
                <w:sz w:val="16"/>
                <w:szCs w:val="16"/>
              </w:rPr>
            </w:pPr>
            <w:r w:rsidRPr="009C4415">
              <w:rPr>
                <w:color w:val="000000"/>
                <w:sz w:val="16"/>
                <w:szCs w:val="16"/>
              </w:rPr>
              <w:t>1.3</w:t>
            </w:r>
          </w:p>
        </w:tc>
      </w:tr>
    </w:tbl>
    <w:p w:rsidR="005F56C6" w:rsidRPr="009C4415" w:rsidRDefault="005F56C6" w:rsidP="005F56C6">
      <w:pPr>
        <w:spacing w:line="360" w:lineRule="auto"/>
        <w:contextualSpacing/>
        <w:jc w:val="center"/>
        <w:rPr>
          <w:rFonts w:ascii="Adobe" w:hAnsi="Adobe" w:cs="Arial"/>
          <w:bCs/>
          <w:color w:val="000000"/>
        </w:rPr>
      </w:pPr>
    </w:p>
    <w:p w:rsidR="005F56C6" w:rsidRPr="009C4415" w:rsidRDefault="005F56C6" w:rsidP="005F56C6">
      <w:pPr>
        <w:spacing w:line="360" w:lineRule="auto"/>
        <w:contextualSpacing/>
        <w:jc w:val="center"/>
        <w:rPr>
          <w:rFonts w:ascii="Adobe" w:hAnsi="Adobe" w:cs="Arial"/>
          <w:bCs/>
          <w:color w:val="000000"/>
        </w:rPr>
      </w:pPr>
    </w:p>
    <w:p w:rsidR="005F56C6" w:rsidRPr="009C4415" w:rsidRDefault="005F56C6" w:rsidP="005F56C6">
      <w:pPr>
        <w:spacing w:line="360" w:lineRule="auto"/>
        <w:contextualSpacing/>
        <w:jc w:val="center"/>
        <w:rPr>
          <w:rFonts w:ascii="Adobe" w:hAnsi="Adobe" w:cs="Arial"/>
          <w:bCs/>
          <w:color w:val="000000"/>
        </w:rPr>
      </w:pPr>
    </w:p>
    <w:p w:rsidR="005F56C6" w:rsidRPr="009C4415" w:rsidRDefault="005F56C6" w:rsidP="005F56C6">
      <w:pPr>
        <w:spacing w:line="360" w:lineRule="auto"/>
        <w:contextualSpacing/>
        <w:jc w:val="center"/>
        <w:rPr>
          <w:rFonts w:ascii="Adobe" w:hAnsi="Adobe" w:cs="Arial"/>
          <w:bCs/>
          <w:color w:val="000000"/>
        </w:rPr>
      </w:pPr>
    </w:p>
    <w:p w:rsidR="005F56C6" w:rsidRPr="009C4415" w:rsidRDefault="005F56C6" w:rsidP="005F56C6">
      <w:pPr>
        <w:spacing w:line="360" w:lineRule="auto"/>
        <w:contextualSpacing/>
        <w:jc w:val="center"/>
        <w:rPr>
          <w:rFonts w:ascii="Adobe" w:hAnsi="Adobe" w:cs="Arial"/>
          <w:bCs/>
          <w:color w:val="000000"/>
        </w:rPr>
      </w:pPr>
    </w:p>
    <w:p w:rsidR="005F56C6" w:rsidRPr="009C4415" w:rsidRDefault="005F56C6" w:rsidP="005F56C6">
      <w:pPr>
        <w:spacing w:line="360" w:lineRule="auto"/>
        <w:contextualSpacing/>
        <w:jc w:val="center"/>
        <w:rPr>
          <w:rFonts w:ascii="Adobe" w:hAnsi="Adobe" w:cs="Arial"/>
          <w:bCs/>
          <w:color w:val="000000"/>
        </w:rPr>
      </w:pPr>
    </w:p>
    <w:p w:rsidR="005F56C6" w:rsidRPr="009C4415" w:rsidRDefault="005F56C6" w:rsidP="00AE662C">
      <w:pPr>
        <w:contextualSpacing/>
        <w:jc w:val="center"/>
        <w:rPr>
          <w:rFonts w:ascii="Adobe" w:hAnsi="Adobe" w:cs="Arial"/>
          <w:bCs/>
          <w:color w:val="000000"/>
        </w:rPr>
      </w:pPr>
    </w:p>
    <w:p w:rsidR="005F56C6" w:rsidRPr="009C4415" w:rsidRDefault="005F56C6" w:rsidP="00AE662C">
      <w:pPr>
        <w:contextualSpacing/>
        <w:jc w:val="center"/>
        <w:rPr>
          <w:rFonts w:ascii="Adobe" w:hAnsi="Adobe" w:cs="Arial"/>
          <w:bCs/>
          <w:color w:val="000000"/>
        </w:rPr>
      </w:pPr>
    </w:p>
    <w:p w:rsidR="00AE662C" w:rsidRPr="009C4415" w:rsidRDefault="00AE662C" w:rsidP="00AE662C">
      <w:pPr>
        <w:rPr>
          <w:b/>
          <w:bCs/>
        </w:rPr>
      </w:pPr>
    </w:p>
    <w:p w:rsidR="0015216B" w:rsidRPr="009C4415" w:rsidRDefault="002B1718" w:rsidP="00AE662C">
      <w:pPr>
        <w:rPr>
          <w:b/>
          <w:bCs/>
          <w:color w:val="000000"/>
        </w:rPr>
      </w:pPr>
      <w:r w:rsidRPr="009C4415">
        <w:rPr>
          <w:b/>
          <w:bCs/>
        </w:rPr>
        <w:t xml:space="preserve">3.2.  </w:t>
      </w:r>
      <w:r w:rsidRPr="009C4415">
        <w:rPr>
          <w:b/>
          <w:bCs/>
          <w:color w:val="000000"/>
        </w:rPr>
        <w:t>The relationship between BMI, Sleep Quality, Stress Conditions and Menstrual Cycles</w:t>
      </w:r>
    </w:p>
    <w:p w:rsidR="00A81B8B" w:rsidRPr="009C4415" w:rsidRDefault="002B1718" w:rsidP="00AE662C">
      <w:pPr>
        <w:ind w:firstLine="709"/>
        <w:contextualSpacing/>
        <w:jc w:val="both"/>
      </w:pPr>
      <w:r w:rsidRPr="009C4415">
        <w:rPr>
          <w:color w:val="000000"/>
        </w:rPr>
        <w:t xml:space="preserve">The number of samples was 148. The respondents who had normal BMI and regular menstruation were 24.3% while the irregular ones were 19.6%. The respondents who had good sleep quality and regular menstruation were 42.6%, and the respondents who experienced stress with irregular menstruation were 23.0%. </w:t>
      </w:r>
      <w:r w:rsidRPr="009C4415">
        <w:t xml:space="preserve">The Chi-square test results showed that there was a significant relationship (p = 0.03) between the BMI and menstrual cycle in the female adolescents. There was a correlation between sleep quality (p = 0.014) and the menstrual cycle of the female adolescents. There was a significant relationship (p = 0.004) between stress conditions with the female adolescent menstrual cycle. </w:t>
      </w:r>
      <w:r w:rsidRPr="009C4415">
        <w:rPr>
          <w:color w:val="000000"/>
        </w:rPr>
        <w:t>The relationship between BMI, sleep qual</w:t>
      </w:r>
      <w:r w:rsidR="00AE662C" w:rsidRPr="009C4415">
        <w:rPr>
          <w:color w:val="000000"/>
        </w:rPr>
        <w:t>ity, stress conditions and the m</w:t>
      </w:r>
      <w:r w:rsidRPr="009C4415">
        <w:rPr>
          <w:color w:val="000000"/>
        </w:rPr>
        <w:t xml:space="preserve">enstrual </w:t>
      </w:r>
      <w:r w:rsidR="00AE662C" w:rsidRPr="009C4415">
        <w:rPr>
          <w:color w:val="000000"/>
        </w:rPr>
        <w:t>c</w:t>
      </w:r>
      <w:r w:rsidRPr="009C4415">
        <w:rPr>
          <w:color w:val="000000"/>
        </w:rPr>
        <w:t>ycle is shown in Table 2.</w:t>
      </w:r>
    </w:p>
    <w:p w:rsidR="0015216B" w:rsidRPr="009C4415" w:rsidRDefault="0015216B" w:rsidP="00AE662C">
      <w:pPr>
        <w:autoSpaceDE w:val="0"/>
        <w:autoSpaceDN w:val="0"/>
        <w:adjustRightInd w:val="0"/>
        <w:ind w:right="60"/>
        <w:rPr>
          <w:bCs/>
          <w:color w:val="000000"/>
          <w:lang w:eastAsia="id-ID"/>
        </w:rPr>
      </w:pPr>
    </w:p>
    <w:p w:rsidR="005F56C6" w:rsidRPr="009C4415" w:rsidRDefault="002B1718" w:rsidP="00AE662C">
      <w:pPr>
        <w:autoSpaceDE w:val="0"/>
        <w:autoSpaceDN w:val="0"/>
        <w:adjustRightInd w:val="0"/>
        <w:ind w:right="62"/>
        <w:jc w:val="center"/>
        <w:rPr>
          <w:bCs/>
          <w:color w:val="000000"/>
        </w:rPr>
      </w:pPr>
      <w:r w:rsidRPr="009C4415">
        <w:rPr>
          <w:bCs/>
          <w:color w:val="000000"/>
        </w:rPr>
        <w:lastRenderedPageBreak/>
        <w:t>Table 2. The relationship between BMI, Sleep Quality, Stress Conditions and Menstrual Cycles</w:t>
      </w:r>
    </w:p>
    <w:tbl>
      <w:tblPr>
        <w:tblpPr w:leftFromText="180" w:rightFromText="180" w:vertAnchor="text" w:horzAnchor="page" w:tblpX="2397" w:tblpY="70"/>
        <w:tblW w:w="759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35"/>
        <w:gridCol w:w="622"/>
        <w:gridCol w:w="541"/>
        <w:gridCol w:w="806"/>
        <w:gridCol w:w="655"/>
        <w:gridCol w:w="828"/>
        <w:gridCol w:w="487"/>
        <w:gridCol w:w="525"/>
        <w:gridCol w:w="1194"/>
        <w:gridCol w:w="85"/>
        <w:gridCol w:w="121"/>
      </w:tblGrid>
      <w:tr w:rsidR="002B1718" w:rsidRPr="009C4415" w:rsidTr="00C02EC6">
        <w:trPr>
          <w:gridAfter w:val="1"/>
          <w:wAfter w:w="121" w:type="dxa"/>
          <w:trHeight w:val="307"/>
        </w:trPr>
        <w:tc>
          <w:tcPr>
            <w:tcW w:w="1735" w:type="dxa"/>
            <w:vMerge w:val="restart"/>
            <w:shd w:val="clear" w:color="auto" w:fill="auto"/>
            <w:vAlign w:val="center"/>
            <w:hideMark/>
          </w:tcPr>
          <w:p w:rsidR="005F56C6" w:rsidRPr="009C4415" w:rsidRDefault="002B1718" w:rsidP="00AE662C">
            <w:pPr>
              <w:ind w:right="150"/>
              <w:jc w:val="center"/>
              <w:rPr>
                <w:b/>
                <w:bCs/>
                <w:color w:val="000000"/>
                <w:sz w:val="16"/>
                <w:szCs w:val="16"/>
              </w:rPr>
            </w:pPr>
            <w:r w:rsidRPr="009C4415">
              <w:rPr>
                <w:b/>
                <w:bCs/>
                <w:color w:val="000000"/>
                <w:sz w:val="16"/>
                <w:szCs w:val="16"/>
              </w:rPr>
              <w:t>Variables</w:t>
            </w:r>
          </w:p>
        </w:tc>
        <w:tc>
          <w:tcPr>
            <w:tcW w:w="1163" w:type="dxa"/>
            <w:gridSpan w:val="2"/>
            <w:shd w:val="clear" w:color="auto" w:fill="auto"/>
            <w:vAlign w:val="center"/>
            <w:hideMark/>
          </w:tcPr>
          <w:p w:rsidR="00E94015" w:rsidRPr="009C4415" w:rsidRDefault="00E94015" w:rsidP="00AE662C">
            <w:pPr>
              <w:jc w:val="center"/>
              <w:rPr>
                <w:color w:val="000000"/>
                <w:sz w:val="16"/>
                <w:szCs w:val="16"/>
                <w:lang w:eastAsia="id-ID"/>
              </w:rPr>
            </w:pPr>
          </w:p>
          <w:p w:rsidR="005F56C6" w:rsidRPr="009C4415" w:rsidRDefault="002B1718" w:rsidP="00AE662C">
            <w:pPr>
              <w:jc w:val="center"/>
              <w:rPr>
                <w:color w:val="000000"/>
                <w:sz w:val="16"/>
                <w:szCs w:val="16"/>
              </w:rPr>
            </w:pPr>
            <w:r w:rsidRPr="009C4415">
              <w:rPr>
                <w:color w:val="000000"/>
                <w:sz w:val="16"/>
                <w:szCs w:val="16"/>
              </w:rPr>
              <w:t>Regular</w:t>
            </w:r>
          </w:p>
        </w:tc>
        <w:tc>
          <w:tcPr>
            <w:tcW w:w="1461" w:type="dxa"/>
            <w:gridSpan w:val="2"/>
            <w:shd w:val="clear" w:color="auto" w:fill="auto"/>
            <w:vAlign w:val="center"/>
            <w:hideMark/>
          </w:tcPr>
          <w:p w:rsidR="005F56C6" w:rsidRPr="009C4415" w:rsidRDefault="002B1718" w:rsidP="00AE662C">
            <w:pPr>
              <w:ind w:right="-164"/>
              <w:rPr>
                <w:color w:val="000000"/>
                <w:sz w:val="16"/>
                <w:szCs w:val="16"/>
              </w:rPr>
            </w:pPr>
            <w:r w:rsidRPr="009C4415">
              <w:rPr>
                <w:color w:val="000000"/>
                <w:sz w:val="16"/>
                <w:szCs w:val="16"/>
              </w:rPr>
              <w:t>Menstruation</w:t>
            </w:r>
          </w:p>
          <w:p w:rsidR="005F56C6" w:rsidRPr="009C4415" w:rsidRDefault="002B1718" w:rsidP="00AE662C">
            <w:pPr>
              <w:jc w:val="center"/>
              <w:rPr>
                <w:color w:val="000000"/>
                <w:sz w:val="16"/>
                <w:szCs w:val="16"/>
              </w:rPr>
            </w:pPr>
            <w:r w:rsidRPr="009C4415">
              <w:rPr>
                <w:color w:val="000000"/>
                <w:sz w:val="16"/>
                <w:szCs w:val="16"/>
              </w:rPr>
              <w:t>Irregular</w:t>
            </w:r>
          </w:p>
        </w:tc>
        <w:tc>
          <w:tcPr>
            <w:tcW w:w="1315" w:type="dxa"/>
            <w:gridSpan w:val="2"/>
            <w:shd w:val="clear" w:color="auto" w:fill="auto"/>
            <w:vAlign w:val="center"/>
            <w:hideMark/>
          </w:tcPr>
          <w:p w:rsidR="005F56C6" w:rsidRPr="009C4415" w:rsidRDefault="002B1718" w:rsidP="00AE662C">
            <w:pPr>
              <w:jc w:val="center"/>
              <w:rPr>
                <w:b/>
                <w:bCs/>
                <w:color w:val="000000"/>
                <w:sz w:val="16"/>
                <w:szCs w:val="16"/>
              </w:rPr>
            </w:pPr>
            <w:r w:rsidRPr="009C4415">
              <w:rPr>
                <w:b/>
                <w:bCs/>
                <w:color w:val="000000"/>
                <w:sz w:val="16"/>
                <w:szCs w:val="16"/>
              </w:rPr>
              <w:t>Total</w:t>
            </w:r>
          </w:p>
        </w:tc>
        <w:tc>
          <w:tcPr>
            <w:tcW w:w="1804" w:type="dxa"/>
            <w:gridSpan w:val="3"/>
            <w:shd w:val="clear" w:color="auto" w:fill="auto"/>
            <w:vAlign w:val="center"/>
            <w:hideMark/>
          </w:tcPr>
          <w:p w:rsidR="005F56C6" w:rsidRPr="009C4415" w:rsidRDefault="002B1718" w:rsidP="00AE662C">
            <w:pPr>
              <w:jc w:val="center"/>
              <w:rPr>
                <w:b/>
                <w:bCs/>
                <w:color w:val="000000"/>
                <w:sz w:val="16"/>
                <w:szCs w:val="16"/>
              </w:rPr>
            </w:pPr>
            <w:r w:rsidRPr="009C4415">
              <w:rPr>
                <w:b/>
                <w:bCs/>
                <w:color w:val="000000"/>
                <w:sz w:val="16"/>
                <w:szCs w:val="16"/>
              </w:rPr>
              <w:t>p</w:t>
            </w:r>
          </w:p>
        </w:tc>
      </w:tr>
      <w:tr w:rsidR="002B1718" w:rsidRPr="009C4415" w:rsidTr="00C02EC6">
        <w:trPr>
          <w:trHeight w:val="307"/>
        </w:trPr>
        <w:tc>
          <w:tcPr>
            <w:tcW w:w="1735" w:type="dxa"/>
            <w:vMerge/>
            <w:shd w:val="clear" w:color="auto" w:fill="auto"/>
            <w:vAlign w:val="center"/>
            <w:hideMark/>
          </w:tcPr>
          <w:p w:rsidR="005F56C6" w:rsidRPr="009C4415" w:rsidRDefault="005F56C6" w:rsidP="00AE662C">
            <w:pPr>
              <w:rPr>
                <w:b/>
                <w:bCs/>
                <w:color w:val="000000"/>
                <w:sz w:val="16"/>
                <w:szCs w:val="16"/>
                <w:lang w:eastAsia="id-ID"/>
              </w:rPr>
            </w:pPr>
          </w:p>
        </w:tc>
        <w:tc>
          <w:tcPr>
            <w:tcW w:w="622" w:type="dxa"/>
            <w:shd w:val="clear" w:color="auto" w:fill="auto"/>
            <w:vAlign w:val="center"/>
            <w:hideMark/>
          </w:tcPr>
          <w:p w:rsidR="005F56C6" w:rsidRPr="009C4415" w:rsidRDefault="002B1718" w:rsidP="00AE662C">
            <w:pPr>
              <w:jc w:val="center"/>
              <w:rPr>
                <w:color w:val="000000"/>
                <w:sz w:val="16"/>
                <w:szCs w:val="16"/>
              </w:rPr>
            </w:pPr>
            <w:r w:rsidRPr="009C4415">
              <w:rPr>
                <w:color w:val="000000"/>
                <w:sz w:val="16"/>
                <w:szCs w:val="16"/>
              </w:rPr>
              <w:t>n</w:t>
            </w:r>
          </w:p>
        </w:tc>
        <w:tc>
          <w:tcPr>
            <w:tcW w:w="541" w:type="dxa"/>
            <w:shd w:val="clear" w:color="auto" w:fill="auto"/>
            <w:vAlign w:val="center"/>
            <w:hideMark/>
          </w:tcPr>
          <w:p w:rsidR="005F56C6" w:rsidRPr="009C4415" w:rsidRDefault="002B1718" w:rsidP="00AE662C">
            <w:pPr>
              <w:jc w:val="center"/>
              <w:rPr>
                <w:color w:val="000000"/>
                <w:sz w:val="16"/>
                <w:szCs w:val="16"/>
              </w:rPr>
            </w:pPr>
            <w:r w:rsidRPr="009C4415">
              <w:rPr>
                <w:color w:val="000000"/>
                <w:sz w:val="16"/>
                <w:szCs w:val="16"/>
              </w:rPr>
              <w:t>%</w:t>
            </w:r>
          </w:p>
        </w:tc>
        <w:tc>
          <w:tcPr>
            <w:tcW w:w="806" w:type="dxa"/>
            <w:shd w:val="clear" w:color="auto" w:fill="auto"/>
            <w:vAlign w:val="center"/>
            <w:hideMark/>
          </w:tcPr>
          <w:p w:rsidR="005F56C6" w:rsidRPr="009C4415" w:rsidRDefault="002B1718" w:rsidP="00AE662C">
            <w:pPr>
              <w:jc w:val="center"/>
              <w:rPr>
                <w:color w:val="000000"/>
                <w:sz w:val="16"/>
                <w:szCs w:val="16"/>
              </w:rPr>
            </w:pPr>
            <w:r w:rsidRPr="009C4415">
              <w:rPr>
                <w:color w:val="000000"/>
                <w:sz w:val="16"/>
                <w:szCs w:val="16"/>
              </w:rPr>
              <w:t>N</w:t>
            </w:r>
          </w:p>
        </w:tc>
        <w:tc>
          <w:tcPr>
            <w:tcW w:w="655" w:type="dxa"/>
            <w:shd w:val="clear" w:color="auto" w:fill="auto"/>
            <w:vAlign w:val="center"/>
            <w:hideMark/>
          </w:tcPr>
          <w:p w:rsidR="005F56C6" w:rsidRPr="009C4415" w:rsidRDefault="002B1718" w:rsidP="00AE662C">
            <w:pPr>
              <w:jc w:val="center"/>
              <w:rPr>
                <w:color w:val="000000"/>
                <w:sz w:val="16"/>
                <w:szCs w:val="16"/>
              </w:rPr>
            </w:pPr>
            <w:r w:rsidRPr="009C4415">
              <w:rPr>
                <w:color w:val="000000"/>
                <w:sz w:val="16"/>
                <w:szCs w:val="16"/>
              </w:rPr>
              <w:t>%</w:t>
            </w:r>
          </w:p>
        </w:tc>
        <w:tc>
          <w:tcPr>
            <w:tcW w:w="828" w:type="dxa"/>
            <w:shd w:val="clear" w:color="auto" w:fill="auto"/>
            <w:vAlign w:val="center"/>
            <w:hideMark/>
          </w:tcPr>
          <w:p w:rsidR="005F56C6" w:rsidRPr="009C4415" w:rsidRDefault="002B1718" w:rsidP="00AE662C">
            <w:pPr>
              <w:jc w:val="center"/>
              <w:rPr>
                <w:color w:val="000000"/>
                <w:sz w:val="16"/>
                <w:szCs w:val="16"/>
              </w:rPr>
            </w:pPr>
            <w:r w:rsidRPr="009C4415">
              <w:rPr>
                <w:color w:val="000000"/>
                <w:sz w:val="16"/>
                <w:szCs w:val="16"/>
              </w:rPr>
              <w:t>n</w:t>
            </w:r>
          </w:p>
        </w:tc>
        <w:tc>
          <w:tcPr>
            <w:tcW w:w="1012" w:type="dxa"/>
            <w:gridSpan w:val="2"/>
            <w:shd w:val="clear" w:color="auto" w:fill="auto"/>
            <w:vAlign w:val="center"/>
            <w:hideMark/>
          </w:tcPr>
          <w:p w:rsidR="005F56C6" w:rsidRPr="009C4415" w:rsidRDefault="002B1718" w:rsidP="00AE662C">
            <w:pPr>
              <w:jc w:val="center"/>
              <w:rPr>
                <w:color w:val="000000"/>
                <w:sz w:val="16"/>
                <w:szCs w:val="16"/>
              </w:rPr>
            </w:pPr>
            <w:r w:rsidRPr="009C4415">
              <w:rPr>
                <w:color w:val="000000"/>
                <w:sz w:val="16"/>
                <w:szCs w:val="16"/>
              </w:rPr>
              <w:t>%</w:t>
            </w:r>
          </w:p>
        </w:tc>
        <w:tc>
          <w:tcPr>
            <w:tcW w:w="1400" w:type="dxa"/>
            <w:gridSpan w:val="3"/>
            <w:shd w:val="clear" w:color="auto" w:fill="auto"/>
            <w:vAlign w:val="center"/>
          </w:tcPr>
          <w:p w:rsidR="005F56C6" w:rsidRPr="009C4415" w:rsidRDefault="005F56C6" w:rsidP="00AE662C">
            <w:pPr>
              <w:jc w:val="right"/>
              <w:rPr>
                <w:color w:val="000000"/>
                <w:sz w:val="16"/>
                <w:szCs w:val="16"/>
                <w:lang w:eastAsia="id-ID"/>
              </w:rPr>
            </w:pPr>
          </w:p>
        </w:tc>
      </w:tr>
      <w:tr w:rsidR="002B1718" w:rsidRPr="009C4415" w:rsidTr="00C02EC6">
        <w:trPr>
          <w:trHeight w:val="307"/>
        </w:trPr>
        <w:tc>
          <w:tcPr>
            <w:tcW w:w="1735" w:type="dxa"/>
            <w:tcBorders>
              <w:bottom w:val="nil"/>
            </w:tcBorders>
            <w:shd w:val="clear" w:color="auto" w:fill="auto"/>
            <w:vAlign w:val="center"/>
          </w:tcPr>
          <w:p w:rsidR="005F56C6" w:rsidRPr="009C4415" w:rsidRDefault="002B1718" w:rsidP="00AE662C">
            <w:pPr>
              <w:rPr>
                <w:b/>
                <w:bCs/>
                <w:color w:val="000000"/>
                <w:sz w:val="16"/>
                <w:szCs w:val="16"/>
              </w:rPr>
            </w:pPr>
            <w:r w:rsidRPr="009C4415">
              <w:rPr>
                <w:b/>
                <w:bCs/>
                <w:color w:val="000000"/>
                <w:sz w:val="16"/>
                <w:szCs w:val="16"/>
              </w:rPr>
              <w:t>BMI</w:t>
            </w:r>
          </w:p>
        </w:tc>
        <w:tc>
          <w:tcPr>
            <w:tcW w:w="622" w:type="dxa"/>
            <w:tcBorders>
              <w:bottom w:val="nil"/>
            </w:tcBorders>
            <w:shd w:val="clear" w:color="auto" w:fill="auto"/>
            <w:vAlign w:val="center"/>
          </w:tcPr>
          <w:p w:rsidR="005F56C6" w:rsidRPr="009C4415" w:rsidRDefault="005F56C6" w:rsidP="00AE662C">
            <w:pPr>
              <w:jc w:val="center"/>
              <w:rPr>
                <w:color w:val="000000"/>
                <w:sz w:val="16"/>
                <w:szCs w:val="16"/>
                <w:lang w:eastAsia="id-ID"/>
              </w:rPr>
            </w:pPr>
          </w:p>
        </w:tc>
        <w:tc>
          <w:tcPr>
            <w:tcW w:w="541" w:type="dxa"/>
            <w:tcBorders>
              <w:bottom w:val="nil"/>
            </w:tcBorders>
            <w:shd w:val="clear" w:color="auto" w:fill="auto"/>
            <w:vAlign w:val="center"/>
          </w:tcPr>
          <w:p w:rsidR="005F56C6" w:rsidRPr="009C4415" w:rsidRDefault="005F56C6" w:rsidP="00AE662C">
            <w:pPr>
              <w:jc w:val="center"/>
              <w:rPr>
                <w:color w:val="000000"/>
                <w:sz w:val="16"/>
                <w:szCs w:val="16"/>
                <w:lang w:eastAsia="id-ID"/>
              </w:rPr>
            </w:pPr>
          </w:p>
        </w:tc>
        <w:tc>
          <w:tcPr>
            <w:tcW w:w="806" w:type="dxa"/>
            <w:tcBorders>
              <w:bottom w:val="nil"/>
            </w:tcBorders>
            <w:shd w:val="clear" w:color="auto" w:fill="auto"/>
            <w:vAlign w:val="center"/>
          </w:tcPr>
          <w:p w:rsidR="005F56C6" w:rsidRPr="009C4415" w:rsidRDefault="005F56C6" w:rsidP="00AE662C">
            <w:pPr>
              <w:jc w:val="center"/>
              <w:rPr>
                <w:color w:val="000000"/>
                <w:sz w:val="16"/>
                <w:szCs w:val="16"/>
                <w:lang w:eastAsia="id-ID"/>
              </w:rPr>
            </w:pPr>
          </w:p>
        </w:tc>
        <w:tc>
          <w:tcPr>
            <w:tcW w:w="655" w:type="dxa"/>
            <w:tcBorders>
              <w:bottom w:val="nil"/>
            </w:tcBorders>
            <w:shd w:val="clear" w:color="auto" w:fill="auto"/>
            <w:vAlign w:val="center"/>
          </w:tcPr>
          <w:p w:rsidR="005F56C6" w:rsidRPr="009C4415" w:rsidRDefault="005F56C6" w:rsidP="00AE662C">
            <w:pPr>
              <w:jc w:val="center"/>
              <w:rPr>
                <w:color w:val="000000"/>
                <w:sz w:val="16"/>
                <w:szCs w:val="16"/>
                <w:lang w:eastAsia="id-ID"/>
              </w:rPr>
            </w:pPr>
          </w:p>
        </w:tc>
        <w:tc>
          <w:tcPr>
            <w:tcW w:w="828" w:type="dxa"/>
            <w:tcBorders>
              <w:bottom w:val="nil"/>
            </w:tcBorders>
            <w:shd w:val="clear" w:color="auto" w:fill="auto"/>
            <w:vAlign w:val="center"/>
          </w:tcPr>
          <w:p w:rsidR="005F56C6" w:rsidRPr="009C4415" w:rsidRDefault="005F56C6" w:rsidP="00AE662C">
            <w:pPr>
              <w:jc w:val="center"/>
              <w:rPr>
                <w:color w:val="000000"/>
                <w:sz w:val="16"/>
                <w:szCs w:val="16"/>
                <w:lang w:eastAsia="id-ID"/>
              </w:rPr>
            </w:pPr>
          </w:p>
        </w:tc>
        <w:tc>
          <w:tcPr>
            <w:tcW w:w="1012" w:type="dxa"/>
            <w:gridSpan w:val="2"/>
            <w:tcBorders>
              <w:bottom w:val="nil"/>
            </w:tcBorders>
            <w:shd w:val="clear" w:color="auto" w:fill="auto"/>
            <w:vAlign w:val="center"/>
          </w:tcPr>
          <w:p w:rsidR="005F56C6" w:rsidRPr="009C4415" w:rsidRDefault="005F56C6" w:rsidP="00AE662C">
            <w:pPr>
              <w:jc w:val="center"/>
              <w:rPr>
                <w:color w:val="000000"/>
                <w:sz w:val="16"/>
                <w:szCs w:val="16"/>
                <w:lang w:eastAsia="id-ID"/>
              </w:rPr>
            </w:pPr>
          </w:p>
        </w:tc>
        <w:tc>
          <w:tcPr>
            <w:tcW w:w="1400" w:type="dxa"/>
            <w:gridSpan w:val="3"/>
            <w:tcBorders>
              <w:bottom w:val="nil"/>
            </w:tcBorders>
            <w:shd w:val="clear" w:color="auto" w:fill="auto"/>
            <w:vAlign w:val="center"/>
          </w:tcPr>
          <w:p w:rsidR="005F56C6" w:rsidRPr="009C4415" w:rsidRDefault="005F56C6" w:rsidP="00AE662C">
            <w:pPr>
              <w:ind w:right="-108"/>
              <w:jc w:val="right"/>
              <w:rPr>
                <w:color w:val="000000"/>
                <w:sz w:val="16"/>
                <w:szCs w:val="16"/>
                <w:lang w:eastAsia="id-ID"/>
              </w:rPr>
            </w:pPr>
          </w:p>
        </w:tc>
      </w:tr>
      <w:tr w:rsidR="002B1718" w:rsidRPr="009C4415" w:rsidTr="00C02EC6">
        <w:trPr>
          <w:trHeight w:val="307"/>
        </w:trPr>
        <w:tc>
          <w:tcPr>
            <w:tcW w:w="1735" w:type="dxa"/>
            <w:tcBorders>
              <w:top w:val="nil"/>
              <w:bottom w:val="nil"/>
            </w:tcBorders>
            <w:shd w:val="clear" w:color="auto" w:fill="auto"/>
            <w:vAlign w:val="center"/>
            <w:hideMark/>
          </w:tcPr>
          <w:p w:rsidR="005F56C6" w:rsidRPr="009C4415" w:rsidRDefault="002B1718" w:rsidP="00AE662C">
            <w:pPr>
              <w:ind w:firstLine="191"/>
              <w:rPr>
                <w:bCs/>
                <w:color w:val="000000"/>
                <w:sz w:val="16"/>
                <w:szCs w:val="16"/>
              </w:rPr>
            </w:pPr>
            <w:r w:rsidRPr="009C4415">
              <w:rPr>
                <w:bCs/>
                <w:color w:val="000000"/>
                <w:sz w:val="16"/>
                <w:szCs w:val="16"/>
              </w:rPr>
              <w:t>Normal</w:t>
            </w:r>
          </w:p>
        </w:tc>
        <w:tc>
          <w:tcPr>
            <w:tcW w:w="622"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36</w:t>
            </w:r>
          </w:p>
        </w:tc>
        <w:tc>
          <w:tcPr>
            <w:tcW w:w="541" w:type="dxa"/>
            <w:tcBorders>
              <w:top w:val="nil"/>
              <w:bottom w:val="nil"/>
            </w:tcBorders>
            <w:shd w:val="clear" w:color="auto" w:fill="auto"/>
            <w:vAlign w:val="center"/>
          </w:tcPr>
          <w:p w:rsidR="005F56C6" w:rsidRPr="009C4415" w:rsidRDefault="002B1718" w:rsidP="00AE662C">
            <w:pPr>
              <w:tabs>
                <w:tab w:val="left" w:pos="0"/>
              </w:tabs>
              <w:ind w:right="-129"/>
              <w:jc w:val="center"/>
              <w:rPr>
                <w:color w:val="000000"/>
                <w:sz w:val="16"/>
                <w:szCs w:val="16"/>
              </w:rPr>
            </w:pPr>
            <w:r w:rsidRPr="009C4415">
              <w:rPr>
                <w:color w:val="000000"/>
                <w:sz w:val="16"/>
                <w:szCs w:val="16"/>
              </w:rPr>
              <w:t>24.3</w:t>
            </w:r>
          </w:p>
        </w:tc>
        <w:tc>
          <w:tcPr>
            <w:tcW w:w="806"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29</w:t>
            </w:r>
          </w:p>
        </w:tc>
        <w:tc>
          <w:tcPr>
            <w:tcW w:w="655"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19.6</w:t>
            </w:r>
          </w:p>
        </w:tc>
        <w:tc>
          <w:tcPr>
            <w:tcW w:w="828"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65</w:t>
            </w:r>
          </w:p>
        </w:tc>
        <w:tc>
          <w:tcPr>
            <w:tcW w:w="1012" w:type="dxa"/>
            <w:gridSpan w:val="2"/>
            <w:tcBorders>
              <w:top w:val="nil"/>
              <w:bottom w:val="nil"/>
            </w:tcBorders>
            <w:shd w:val="clear" w:color="auto" w:fill="auto"/>
            <w:vAlign w:val="center"/>
            <w:hideMark/>
          </w:tcPr>
          <w:p w:rsidR="005F56C6" w:rsidRPr="009C4415" w:rsidRDefault="002B1718" w:rsidP="00AE662C">
            <w:pPr>
              <w:ind w:right="-205"/>
              <w:jc w:val="center"/>
              <w:rPr>
                <w:color w:val="000000"/>
                <w:sz w:val="16"/>
                <w:szCs w:val="16"/>
              </w:rPr>
            </w:pPr>
            <w:r w:rsidRPr="009C4415">
              <w:rPr>
                <w:color w:val="000000"/>
                <w:sz w:val="16"/>
                <w:szCs w:val="16"/>
              </w:rPr>
              <w:t>43.9</w:t>
            </w:r>
          </w:p>
        </w:tc>
        <w:tc>
          <w:tcPr>
            <w:tcW w:w="1400" w:type="dxa"/>
            <w:gridSpan w:val="3"/>
            <w:tcBorders>
              <w:top w:val="nil"/>
              <w:bottom w:val="nil"/>
            </w:tcBorders>
            <w:shd w:val="clear" w:color="auto" w:fill="auto"/>
            <w:vAlign w:val="center"/>
            <w:hideMark/>
          </w:tcPr>
          <w:p w:rsidR="005F56C6" w:rsidRPr="009C4415" w:rsidRDefault="005F56C6" w:rsidP="00AE662C">
            <w:pPr>
              <w:jc w:val="center"/>
              <w:rPr>
                <w:color w:val="000000"/>
                <w:sz w:val="16"/>
                <w:szCs w:val="16"/>
                <w:lang w:eastAsia="id-ID"/>
              </w:rPr>
            </w:pPr>
          </w:p>
        </w:tc>
      </w:tr>
      <w:tr w:rsidR="002B1718" w:rsidRPr="009C4415" w:rsidTr="00C02EC6">
        <w:trPr>
          <w:gridAfter w:val="2"/>
          <w:wAfter w:w="206" w:type="dxa"/>
          <w:trHeight w:val="307"/>
        </w:trPr>
        <w:tc>
          <w:tcPr>
            <w:tcW w:w="1735" w:type="dxa"/>
            <w:tcBorders>
              <w:top w:val="nil"/>
              <w:bottom w:val="nil"/>
            </w:tcBorders>
            <w:shd w:val="clear" w:color="auto" w:fill="auto"/>
            <w:vAlign w:val="center"/>
            <w:hideMark/>
          </w:tcPr>
          <w:p w:rsidR="005F56C6" w:rsidRPr="009C4415" w:rsidRDefault="002B1718" w:rsidP="00AE662C">
            <w:pPr>
              <w:ind w:firstLine="191"/>
              <w:rPr>
                <w:bCs/>
                <w:color w:val="000000"/>
                <w:sz w:val="16"/>
                <w:szCs w:val="16"/>
              </w:rPr>
            </w:pPr>
            <w:r w:rsidRPr="009C4415">
              <w:rPr>
                <w:bCs/>
                <w:color w:val="000000"/>
                <w:sz w:val="16"/>
                <w:szCs w:val="16"/>
              </w:rPr>
              <w:t>Abnormal</w:t>
            </w:r>
          </w:p>
        </w:tc>
        <w:tc>
          <w:tcPr>
            <w:tcW w:w="622"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60</w:t>
            </w:r>
          </w:p>
        </w:tc>
        <w:tc>
          <w:tcPr>
            <w:tcW w:w="541" w:type="dxa"/>
            <w:tcBorders>
              <w:top w:val="nil"/>
              <w:bottom w:val="nil"/>
            </w:tcBorders>
            <w:shd w:val="clear" w:color="auto" w:fill="auto"/>
            <w:vAlign w:val="center"/>
          </w:tcPr>
          <w:p w:rsidR="005F56C6" w:rsidRPr="009C4415" w:rsidRDefault="002B1718" w:rsidP="00AE662C">
            <w:pPr>
              <w:ind w:right="-129"/>
              <w:jc w:val="center"/>
              <w:rPr>
                <w:color w:val="000000"/>
                <w:sz w:val="16"/>
                <w:szCs w:val="16"/>
              </w:rPr>
            </w:pPr>
            <w:r w:rsidRPr="009C4415">
              <w:rPr>
                <w:color w:val="000000"/>
                <w:sz w:val="16"/>
                <w:szCs w:val="16"/>
              </w:rPr>
              <w:t>40.5</w:t>
            </w:r>
          </w:p>
        </w:tc>
        <w:tc>
          <w:tcPr>
            <w:tcW w:w="806"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22</w:t>
            </w:r>
          </w:p>
        </w:tc>
        <w:tc>
          <w:tcPr>
            <w:tcW w:w="655"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15.5</w:t>
            </w:r>
          </w:p>
        </w:tc>
        <w:tc>
          <w:tcPr>
            <w:tcW w:w="828" w:type="dxa"/>
            <w:tcBorders>
              <w:top w:val="nil"/>
              <w:bottom w:val="nil"/>
            </w:tcBorders>
            <w:shd w:val="clear" w:color="auto" w:fill="auto"/>
            <w:vAlign w:val="center"/>
          </w:tcPr>
          <w:p w:rsidR="005F56C6" w:rsidRPr="009C4415" w:rsidRDefault="002B1718" w:rsidP="00AE662C">
            <w:pPr>
              <w:jc w:val="center"/>
              <w:rPr>
                <w:color w:val="000000"/>
                <w:sz w:val="16"/>
                <w:szCs w:val="16"/>
              </w:rPr>
            </w:pPr>
            <w:r w:rsidRPr="009C4415">
              <w:rPr>
                <w:color w:val="000000"/>
                <w:sz w:val="16"/>
                <w:szCs w:val="16"/>
              </w:rPr>
              <w:t>83</w:t>
            </w:r>
          </w:p>
        </w:tc>
        <w:tc>
          <w:tcPr>
            <w:tcW w:w="1012" w:type="dxa"/>
            <w:gridSpan w:val="2"/>
            <w:tcBorders>
              <w:top w:val="nil"/>
              <w:bottom w:val="nil"/>
            </w:tcBorders>
            <w:shd w:val="clear" w:color="auto" w:fill="auto"/>
            <w:vAlign w:val="center"/>
            <w:hideMark/>
          </w:tcPr>
          <w:p w:rsidR="005F56C6" w:rsidRPr="009C4415" w:rsidRDefault="002B1718" w:rsidP="00AE662C">
            <w:pPr>
              <w:ind w:right="-205"/>
              <w:jc w:val="center"/>
              <w:rPr>
                <w:color w:val="000000"/>
                <w:sz w:val="16"/>
                <w:szCs w:val="16"/>
              </w:rPr>
            </w:pPr>
            <w:r w:rsidRPr="009C4415">
              <w:rPr>
                <w:color w:val="000000"/>
                <w:sz w:val="16"/>
                <w:szCs w:val="16"/>
              </w:rPr>
              <w:t>56.1</w:t>
            </w:r>
          </w:p>
        </w:tc>
        <w:tc>
          <w:tcPr>
            <w:tcW w:w="1194" w:type="dxa"/>
            <w:tcBorders>
              <w:top w:val="nil"/>
              <w:bottom w:val="nil"/>
            </w:tcBorders>
            <w:shd w:val="clear" w:color="auto" w:fill="auto"/>
            <w:vAlign w:val="center"/>
            <w:hideMark/>
          </w:tcPr>
          <w:p w:rsidR="005F56C6" w:rsidRPr="009C4415" w:rsidRDefault="002B1718" w:rsidP="00AE662C">
            <w:pPr>
              <w:ind w:hanging="108"/>
              <w:rPr>
                <w:color w:val="000000"/>
                <w:sz w:val="16"/>
                <w:szCs w:val="16"/>
              </w:rPr>
            </w:pPr>
            <w:r w:rsidRPr="009C4415">
              <w:rPr>
                <w:color w:val="000000"/>
                <w:sz w:val="16"/>
                <w:szCs w:val="16"/>
              </w:rPr>
              <w:t xml:space="preserve"> 0.03</w:t>
            </w:r>
          </w:p>
        </w:tc>
      </w:tr>
      <w:tr w:rsidR="002B1718" w:rsidRPr="009C4415" w:rsidTr="00C02EC6">
        <w:trPr>
          <w:gridAfter w:val="2"/>
          <w:wAfter w:w="206" w:type="dxa"/>
          <w:trHeight w:val="307"/>
        </w:trPr>
        <w:tc>
          <w:tcPr>
            <w:tcW w:w="1735" w:type="dxa"/>
            <w:tcBorders>
              <w:top w:val="nil"/>
              <w:bottom w:val="nil"/>
            </w:tcBorders>
            <w:shd w:val="clear" w:color="auto" w:fill="auto"/>
            <w:vAlign w:val="center"/>
            <w:hideMark/>
          </w:tcPr>
          <w:p w:rsidR="005F56C6" w:rsidRPr="009C4415" w:rsidRDefault="002B1718" w:rsidP="00AE662C">
            <w:pPr>
              <w:rPr>
                <w:b/>
                <w:bCs/>
                <w:color w:val="000000"/>
                <w:sz w:val="16"/>
                <w:szCs w:val="16"/>
              </w:rPr>
            </w:pPr>
            <w:r w:rsidRPr="009C4415">
              <w:rPr>
                <w:b/>
                <w:bCs/>
                <w:color w:val="000000"/>
                <w:sz w:val="16"/>
                <w:szCs w:val="16"/>
              </w:rPr>
              <w:t> Sleep Quality</w:t>
            </w:r>
          </w:p>
        </w:tc>
        <w:tc>
          <w:tcPr>
            <w:tcW w:w="622"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541"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806"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655"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828"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1012" w:type="dxa"/>
            <w:gridSpan w:val="2"/>
            <w:tcBorders>
              <w:top w:val="nil"/>
              <w:bottom w:val="nil"/>
            </w:tcBorders>
            <w:shd w:val="clear" w:color="auto" w:fill="auto"/>
            <w:vAlign w:val="center"/>
            <w:hideMark/>
          </w:tcPr>
          <w:p w:rsidR="005F56C6" w:rsidRPr="009C4415" w:rsidRDefault="005F56C6" w:rsidP="00AE662C">
            <w:pPr>
              <w:jc w:val="center"/>
              <w:rPr>
                <w:b/>
                <w:bCs/>
                <w:color w:val="000000"/>
                <w:sz w:val="16"/>
                <w:szCs w:val="16"/>
                <w:lang w:eastAsia="id-ID"/>
              </w:rPr>
            </w:pPr>
          </w:p>
        </w:tc>
        <w:tc>
          <w:tcPr>
            <w:tcW w:w="1194" w:type="dxa"/>
            <w:tcBorders>
              <w:top w:val="nil"/>
              <w:bottom w:val="nil"/>
            </w:tcBorders>
            <w:shd w:val="clear" w:color="auto" w:fill="auto"/>
            <w:vAlign w:val="center"/>
            <w:hideMark/>
          </w:tcPr>
          <w:p w:rsidR="005F56C6" w:rsidRPr="009C4415" w:rsidRDefault="005F56C6" w:rsidP="00AE662C">
            <w:pPr>
              <w:ind w:hanging="108"/>
              <w:rPr>
                <w:color w:val="000000"/>
                <w:sz w:val="16"/>
                <w:szCs w:val="16"/>
                <w:lang w:eastAsia="id-ID"/>
              </w:rPr>
            </w:pPr>
          </w:p>
        </w:tc>
      </w:tr>
      <w:tr w:rsidR="002B1718" w:rsidRPr="009C4415" w:rsidTr="00C02EC6">
        <w:trPr>
          <w:gridAfter w:val="2"/>
          <w:wAfter w:w="206" w:type="dxa"/>
          <w:trHeight w:val="292"/>
        </w:trPr>
        <w:tc>
          <w:tcPr>
            <w:tcW w:w="1735" w:type="dxa"/>
            <w:tcBorders>
              <w:top w:val="nil"/>
              <w:bottom w:val="nil"/>
            </w:tcBorders>
            <w:shd w:val="clear" w:color="auto" w:fill="auto"/>
            <w:vAlign w:val="center"/>
            <w:hideMark/>
          </w:tcPr>
          <w:p w:rsidR="005F56C6" w:rsidRPr="009C4415" w:rsidRDefault="002B1718" w:rsidP="00AE662C">
            <w:pPr>
              <w:ind w:firstLine="191"/>
              <w:rPr>
                <w:bCs/>
                <w:color w:val="000000"/>
                <w:sz w:val="16"/>
                <w:szCs w:val="16"/>
              </w:rPr>
            </w:pPr>
            <w:r w:rsidRPr="009C4415">
              <w:rPr>
                <w:bCs/>
                <w:color w:val="000000"/>
                <w:sz w:val="16"/>
                <w:szCs w:val="16"/>
              </w:rPr>
              <w:t>Good</w:t>
            </w:r>
          </w:p>
        </w:tc>
        <w:tc>
          <w:tcPr>
            <w:tcW w:w="622"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63</w:t>
            </w:r>
          </w:p>
        </w:tc>
        <w:tc>
          <w:tcPr>
            <w:tcW w:w="541" w:type="dxa"/>
            <w:tcBorders>
              <w:top w:val="nil"/>
              <w:bottom w:val="nil"/>
            </w:tcBorders>
            <w:shd w:val="clear" w:color="auto" w:fill="auto"/>
            <w:vAlign w:val="center"/>
          </w:tcPr>
          <w:p w:rsidR="005F56C6" w:rsidRPr="009C4415" w:rsidRDefault="002B1718" w:rsidP="00AE662C">
            <w:pPr>
              <w:tabs>
                <w:tab w:val="left" w:pos="343"/>
              </w:tabs>
              <w:ind w:right="-39"/>
              <w:jc w:val="center"/>
              <w:rPr>
                <w:bCs/>
                <w:color w:val="000000"/>
                <w:sz w:val="16"/>
                <w:szCs w:val="16"/>
              </w:rPr>
            </w:pPr>
            <w:r w:rsidRPr="009C4415">
              <w:rPr>
                <w:bCs/>
                <w:color w:val="000000"/>
                <w:sz w:val="16"/>
                <w:szCs w:val="16"/>
              </w:rPr>
              <w:t>42.6</w:t>
            </w:r>
          </w:p>
        </w:tc>
        <w:tc>
          <w:tcPr>
            <w:tcW w:w="806"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44</w:t>
            </w:r>
          </w:p>
        </w:tc>
        <w:tc>
          <w:tcPr>
            <w:tcW w:w="655"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29.7</w:t>
            </w:r>
          </w:p>
        </w:tc>
        <w:tc>
          <w:tcPr>
            <w:tcW w:w="828"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107</w:t>
            </w:r>
          </w:p>
        </w:tc>
        <w:tc>
          <w:tcPr>
            <w:tcW w:w="1012" w:type="dxa"/>
            <w:gridSpan w:val="2"/>
            <w:tcBorders>
              <w:top w:val="nil"/>
              <w:bottom w:val="nil"/>
            </w:tcBorders>
            <w:shd w:val="clear" w:color="auto" w:fill="auto"/>
            <w:vAlign w:val="center"/>
            <w:hideMark/>
          </w:tcPr>
          <w:p w:rsidR="005F56C6" w:rsidRPr="009C4415" w:rsidRDefault="002B1718" w:rsidP="00AE662C">
            <w:pPr>
              <w:ind w:right="-205"/>
              <w:jc w:val="center"/>
              <w:rPr>
                <w:color w:val="000000"/>
                <w:sz w:val="16"/>
                <w:szCs w:val="16"/>
              </w:rPr>
            </w:pPr>
            <w:r w:rsidRPr="009C4415">
              <w:rPr>
                <w:color w:val="000000"/>
                <w:sz w:val="16"/>
                <w:szCs w:val="16"/>
              </w:rPr>
              <w:t>72.3</w:t>
            </w:r>
          </w:p>
        </w:tc>
        <w:tc>
          <w:tcPr>
            <w:tcW w:w="1194" w:type="dxa"/>
            <w:tcBorders>
              <w:top w:val="nil"/>
              <w:bottom w:val="nil"/>
            </w:tcBorders>
            <w:shd w:val="clear" w:color="auto" w:fill="auto"/>
            <w:vAlign w:val="center"/>
            <w:hideMark/>
          </w:tcPr>
          <w:p w:rsidR="005F56C6" w:rsidRPr="009C4415" w:rsidRDefault="002B1718" w:rsidP="00AE662C">
            <w:pPr>
              <w:ind w:right="-205" w:hanging="108"/>
              <w:rPr>
                <w:color w:val="000000"/>
                <w:sz w:val="16"/>
                <w:szCs w:val="16"/>
              </w:rPr>
            </w:pPr>
            <w:r w:rsidRPr="009C4415">
              <w:rPr>
                <w:color w:val="000000"/>
                <w:sz w:val="16"/>
                <w:szCs w:val="16"/>
              </w:rPr>
              <w:t>0.014</w:t>
            </w:r>
          </w:p>
        </w:tc>
      </w:tr>
      <w:tr w:rsidR="002B1718" w:rsidRPr="009C4415" w:rsidTr="00C02EC6">
        <w:trPr>
          <w:gridAfter w:val="2"/>
          <w:wAfter w:w="206" w:type="dxa"/>
          <w:trHeight w:val="292"/>
        </w:trPr>
        <w:tc>
          <w:tcPr>
            <w:tcW w:w="1735" w:type="dxa"/>
            <w:tcBorders>
              <w:top w:val="nil"/>
              <w:bottom w:val="nil"/>
            </w:tcBorders>
            <w:shd w:val="clear" w:color="auto" w:fill="auto"/>
            <w:vAlign w:val="center"/>
            <w:hideMark/>
          </w:tcPr>
          <w:p w:rsidR="005F56C6" w:rsidRPr="009C4415" w:rsidRDefault="002B1718" w:rsidP="00AE662C">
            <w:pPr>
              <w:ind w:firstLine="191"/>
              <w:rPr>
                <w:bCs/>
                <w:color w:val="000000"/>
                <w:sz w:val="16"/>
                <w:szCs w:val="16"/>
              </w:rPr>
            </w:pPr>
            <w:r w:rsidRPr="009C4415">
              <w:rPr>
                <w:bCs/>
                <w:color w:val="000000"/>
                <w:sz w:val="16"/>
                <w:szCs w:val="16"/>
              </w:rPr>
              <w:t>Bad</w:t>
            </w:r>
          </w:p>
        </w:tc>
        <w:tc>
          <w:tcPr>
            <w:tcW w:w="622"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33</w:t>
            </w:r>
          </w:p>
        </w:tc>
        <w:tc>
          <w:tcPr>
            <w:tcW w:w="541" w:type="dxa"/>
            <w:tcBorders>
              <w:top w:val="nil"/>
              <w:bottom w:val="nil"/>
            </w:tcBorders>
            <w:shd w:val="clear" w:color="auto" w:fill="auto"/>
            <w:vAlign w:val="center"/>
          </w:tcPr>
          <w:p w:rsidR="005F56C6" w:rsidRPr="009C4415" w:rsidRDefault="002B1718" w:rsidP="00AE662C">
            <w:pPr>
              <w:tabs>
                <w:tab w:val="left" w:pos="343"/>
              </w:tabs>
              <w:ind w:right="-39"/>
              <w:jc w:val="center"/>
              <w:rPr>
                <w:bCs/>
                <w:color w:val="000000"/>
                <w:sz w:val="16"/>
                <w:szCs w:val="16"/>
              </w:rPr>
            </w:pPr>
            <w:r w:rsidRPr="009C4415">
              <w:rPr>
                <w:bCs/>
                <w:color w:val="000000"/>
                <w:sz w:val="16"/>
                <w:szCs w:val="16"/>
              </w:rPr>
              <w:t>22.3</w:t>
            </w:r>
          </w:p>
        </w:tc>
        <w:tc>
          <w:tcPr>
            <w:tcW w:w="806"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8</w:t>
            </w:r>
          </w:p>
        </w:tc>
        <w:tc>
          <w:tcPr>
            <w:tcW w:w="655"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5.4</w:t>
            </w:r>
          </w:p>
        </w:tc>
        <w:tc>
          <w:tcPr>
            <w:tcW w:w="828"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41</w:t>
            </w:r>
          </w:p>
        </w:tc>
        <w:tc>
          <w:tcPr>
            <w:tcW w:w="1012" w:type="dxa"/>
            <w:gridSpan w:val="2"/>
            <w:tcBorders>
              <w:top w:val="nil"/>
              <w:bottom w:val="nil"/>
            </w:tcBorders>
            <w:shd w:val="clear" w:color="auto" w:fill="auto"/>
            <w:vAlign w:val="center"/>
            <w:hideMark/>
          </w:tcPr>
          <w:p w:rsidR="005F56C6" w:rsidRPr="009C4415" w:rsidRDefault="002B1718" w:rsidP="00AE662C">
            <w:pPr>
              <w:ind w:right="-205"/>
              <w:jc w:val="center"/>
              <w:rPr>
                <w:color w:val="000000"/>
                <w:sz w:val="16"/>
                <w:szCs w:val="16"/>
              </w:rPr>
            </w:pPr>
            <w:r w:rsidRPr="009C4415">
              <w:rPr>
                <w:color w:val="000000"/>
                <w:sz w:val="16"/>
                <w:szCs w:val="16"/>
              </w:rPr>
              <w:t>27.7</w:t>
            </w:r>
          </w:p>
        </w:tc>
        <w:tc>
          <w:tcPr>
            <w:tcW w:w="1194" w:type="dxa"/>
            <w:tcBorders>
              <w:top w:val="nil"/>
              <w:bottom w:val="nil"/>
            </w:tcBorders>
            <w:shd w:val="clear" w:color="auto" w:fill="auto"/>
            <w:vAlign w:val="center"/>
            <w:hideMark/>
          </w:tcPr>
          <w:p w:rsidR="005F56C6" w:rsidRPr="009C4415" w:rsidRDefault="005F56C6" w:rsidP="00AE662C">
            <w:pPr>
              <w:ind w:right="-205" w:hanging="108"/>
              <w:rPr>
                <w:color w:val="000000"/>
                <w:sz w:val="16"/>
                <w:szCs w:val="16"/>
                <w:lang w:eastAsia="id-ID"/>
              </w:rPr>
            </w:pPr>
          </w:p>
        </w:tc>
      </w:tr>
      <w:tr w:rsidR="002B1718" w:rsidRPr="009C4415" w:rsidTr="00C02EC6">
        <w:trPr>
          <w:gridAfter w:val="2"/>
          <w:wAfter w:w="206" w:type="dxa"/>
          <w:trHeight w:val="292"/>
        </w:trPr>
        <w:tc>
          <w:tcPr>
            <w:tcW w:w="1735" w:type="dxa"/>
            <w:tcBorders>
              <w:top w:val="nil"/>
              <w:bottom w:val="nil"/>
            </w:tcBorders>
            <w:shd w:val="clear" w:color="auto" w:fill="auto"/>
            <w:vAlign w:val="center"/>
            <w:hideMark/>
          </w:tcPr>
          <w:p w:rsidR="005F56C6" w:rsidRPr="009C4415" w:rsidRDefault="002B1718" w:rsidP="00AE662C">
            <w:pPr>
              <w:rPr>
                <w:b/>
                <w:bCs/>
                <w:color w:val="000000"/>
                <w:sz w:val="16"/>
                <w:szCs w:val="16"/>
              </w:rPr>
            </w:pPr>
            <w:r w:rsidRPr="009C4415">
              <w:rPr>
                <w:b/>
                <w:bCs/>
                <w:color w:val="000000"/>
                <w:sz w:val="16"/>
                <w:szCs w:val="16"/>
              </w:rPr>
              <w:t> Stress Conditions</w:t>
            </w:r>
          </w:p>
        </w:tc>
        <w:tc>
          <w:tcPr>
            <w:tcW w:w="622"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541"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806"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655"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828" w:type="dxa"/>
            <w:tcBorders>
              <w:top w:val="nil"/>
              <w:bottom w:val="nil"/>
            </w:tcBorders>
            <w:shd w:val="clear" w:color="auto" w:fill="auto"/>
            <w:vAlign w:val="center"/>
          </w:tcPr>
          <w:p w:rsidR="005F56C6" w:rsidRPr="009C4415" w:rsidRDefault="005F56C6" w:rsidP="00AE662C">
            <w:pPr>
              <w:jc w:val="center"/>
              <w:rPr>
                <w:b/>
                <w:bCs/>
                <w:color w:val="000000"/>
                <w:sz w:val="16"/>
                <w:szCs w:val="16"/>
                <w:lang w:eastAsia="id-ID"/>
              </w:rPr>
            </w:pPr>
          </w:p>
        </w:tc>
        <w:tc>
          <w:tcPr>
            <w:tcW w:w="1012" w:type="dxa"/>
            <w:gridSpan w:val="2"/>
            <w:tcBorders>
              <w:top w:val="nil"/>
              <w:bottom w:val="nil"/>
            </w:tcBorders>
            <w:shd w:val="clear" w:color="auto" w:fill="auto"/>
            <w:vAlign w:val="center"/>
            <w:hideMark/>
          </w:tcPr>
          <w:p w:rsidR="005F56C6" w:rsidRPr="009C4415" w:rsidRDefault="005F56C6" w:rsidP="00AE662C">
            <w:pPr>
              <w:jc w:val="center"/>
              <w:rPr>
                <w:b/>
                <w:bCs/>
                <w:color w:val="000000"/>
                <w:sz w:val="16"/>
                <w:szCs w:val="16"/>
                <w:lang w:eastAsia="id-ID"/>
              </w:rPr>
            </w:pPr>
          </w:p>
        </w:tc>
        <w:tc>
          <w:tcPr>
            <w:tcW w:w="1194" w:type="dxa"/>
            <w:tcBorders>
              <w:top w:val="nil"/>
              <w:bottom w:val="nil"/>
            </w:tcBorders>
            <w:shd w:val="clear" w:color="auto" w:fill="auto"/>
            <w:vAlign w:val="center"/>
            <w:hideMark/>
          </w:tcPr>
          <w:p w:rsidR="005F56C6" w:rsidRPr="009C4415" w:rsidRDefault="005F56C6" w:rsidP="00AE662C">
            <w:pPr>
              <w:ind w:hanging="108"/>
              <w:rPr>
                <w:color w:val="000000"/>
                <w:sz w:val="16"/>
                <w:szCs w:val="16"/>
                <w:lang w:eastAsia="id-ID"/>
              </w:rPr>
            </w:pPr>
          </w:p>
        </w:tc>
      </w:tr>
      <w:tr w:rsidR="002B1718" w:rsidRPr="009C4415" w:rsidTr="00C02EC6">
        <w:trPr>
          <w:gridAfter w:val="2"/>
          <w:wAfter w:w="206" w:type="dxa"/>
          <w:trHeight w:val="292"/>
        </w:trPr>
        <w:tc>
          <w:tcPr>
            <w:tcW w:w="1735" w:type="dxa"/>
            <w:tcBorders>
              <w:top w:val="nil"/>
              <w:bottom w:val="nil"/>
            </w:tcBorders>
            <w:shd w:val="clear" w:color="auto" w:fill="auto"/>
            <w:vAlign w:val="center"/>
            <w:hideMark/>
          </w:tcPr>
          <w:p w:rsidR="005F56C6" w:rsidRPr="009C4415" w:rsidRDefault="002B1718" w:rsidP="00AE662C">
            <w:pPr>
              <w:ind w:firstLine="191"/>
              <w:rPr>
                <w:bCs/>
                <w:color w:val="000000"/>
                <w:sz w:val="16"/>
                <w:szCs w:val="16"/>
              </w:rPr>
            </w:pPr>
            <w:r w:rsidRPr="009C4415">
              <w:rPr>
                <w:bCs/>
                <w:color w:val="000000"/>
                <w:sz w:val="16"/>
                <w:szCs w:val="16"/>
              </w:rPr>
              <w:t>Stressful</w:t>
            </w:r>
          </w:p>
        </w:tc>
        <w:tc>
          <w:tcPr>
            <w:tcW w:w="622"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39</w:t>
            </w:r>
          </w:p>
        </w:tc>
        <w:tc>
          <w:tcPr>
            <w:tcW w:w="541" w:type="dxa"/>
            <w:tcBorders>
              <w:top w:val="nil"/>
              <w:bottom w:val="nil"/>
            </w:tcBorders>
            <w:shd w:val="clear" w:color="auto" w:fill="auto"/>
            <w:vAlign w:val="center"/>
          </w:tcPr>
          <w:p w:rsidR="005F56C6" w:rsidRPr="009C4415" w:rsidRDefault="002B1718" w:rsidP="00AE662C">
            <w:pPr>
              <w:tabs>
                <w:tab w:val="left" w:pos="343"/>
              </w:tabs>
              <w:ind w:right="-39"/>
              <w:jc w:val="center"/>
              <w:rPr>
                <w:bCs/>
                <w:color w:val="000000"/>
                <w:sz w:val="16"/>
                <w:szCs w:val="16"/>
              </w:rPr>
            </w:pPr>
            <w:r w:rsidRPr="009C4415">
              <w:rPr>
                <w:bCs/>
                <w:color w:val="000000"/>
                <w:sz w:val="16"/>
                <w:szCs w:val="16"/>
              </w:rPr>
              <w:t>26.3</w:t>
            </w:r>
          </w:p>
        </w:tc>
        <w:tc>
          <w:tcPr>
            <w:tcW w:w="806"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34</w:t>
            </w:r>
          </w:p>
        </w:tc>
        <w:tc>
          <w:tcPr>
            <w:tcW w:w="655"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23.0</w:t>
            </w:r>
          </w:p>
        </w:tc>
        <w:tc>
          <w:tcPr>
            <w:tcW w:w="828" w:type="dxa"/>
            <w:tcBorders>
              <w:top w:val="nil"/>
              <w:bottom w:val="nil"/>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73</w:t>
            </w:r>
          </w:p>
        </w:tc>
        <w:tc>
          <w:tcPr>
            <w:tcW w:w="1012" w:type="dxa"/>
            <w:gridSpan w:val="2"/>
            <w:tcBorders>
              <w:top w:val="nil"/>
              <w:bottom w:val="nil"/>
            </w:tcBorders>
            <w:shd w:val="clear" w:color="auto" w:fill="auto"/>
            <w:vAlign w:val="center"/>
            <w:hideMark/>
          </w:tcPr>
          <w:p w:rsidR="005F56C6" w:rsidRPr="009C4415" w:rsidRDefault="002B1718" w:rsidP="00AE662C">
            <w:pPr>
              <w:ind w:right="-205"/>
              <w:jc w:val="center"/>
              <w:rPr>
                <w:color w:val="000000"/>
                <w:sz w:val="16"/>
                <w:szCs w:val="16"/>
              </w:rPr>
            </w:pPr>
            <w:r w:rsidRPr="009C4415">
              <w:rPr>
                <w:color w:val="000000"/>
                <w:sz w:val="16"/>
                <w:szCs w:val="16"/>
              </w:rPr>
              <w:t>49.3</w:t>
            </w:r>
          </w:p>
        </w:tc>
        <w:tc>
          <w:tcPr>
            <w:tcW w:w="1194" w:type="dxa"/>
            <w:tcBorders>
              <w:top w:val="nil"/>
              <w:bottom w:val="nil"/>
            </w:tcBorders>
            <w:shd w:val="clear" w:color="auto" w:fill="auto"/>
            <w:vAlign w:val="center"/>
            <w:hideMark/>
          </w:tcPr>
          <w:p w:rsidR="005F56C6" w:rsidRPr="009C4415" w:rsidRDefault="002B1718" w:rsidP="00AE662C">
            <w:pPr>
              <w:ind w:right="-205" w:hanging="108"/>
              <w:rPr>
                <w:color w:val="000000"/>
                <w:sz w:val="16"/>
                <w:szCs w:val="16"/>
              </w:rPr>
            </w:pPr>
            <w:r w:rsidRPr="009C4415">
              <w:rPr>
                <w:color w:val="000000"/>
                <w:sz w:val="16"/>
                <w:szCs w:val="16"/>
              </w:rPr>
              <w:t>0.004</w:t>
            </w:r>
          </w:p>
        </w:tc>
      </w:tr>
      <w:tr w:rsidR="002B1718" w:rsidRPr="009C4415" w:rsidTr="00C02EC6">
        <w:trPr>
          <w:trHeight w:val="292"/>
        </w:trPr>
        <w:tc>
          <w:tcPr>
            <w:tcW w:w="1735" w:type="dxa"/>
            <w:tcBorders>
              <w:top w:val="nil"/>
              <w:bottom w:val="single" w:sz="4" w:space="0" w:color="auto"/>
            </w:tcBorders>
            <w:shd w:val="clear" w:color="auto" w:fill="auto"/>
            <w:vAlign w:val="center"/>
            <w:hideMark/>
          </w:tcPr>
          <w:p w:rsidR="005F56C6" w:rsidRPr="009C4415" w:rsidRDefault="002B1718" w:rsidP="00AE662C">
            <w:pPr>
              <w:ind w:firstLine="191"/>
              <w:rPr>
                <w:bCs/>
                <w:color w:val="000000"/>
                <w:sz w:val="16"/>
                <w:szCs w:val="16"/>
              </w:rPr>
            </w:pPr>
            <w:r w:rsidRPr="009C4415">
              <w:rPr>
                <w:bCs/>
                <w:color w:val="000000"/>
                <w:sz w:val="16"/>
                <w:szCs w:val="16"/>
              </w:rPr>
              <w:t>Not Stressful</w:t>
            </w:r>
          </w:p>
        </w:tc>
        <w:tc>
          <w:tcPr>
            <w:tcW w:w="622" w:type="dxa"/>
            <w:tcBorders>
              <w:top w:val="nil"/>
              <w:bottom w:val="single" w:sz="4" w:space="0" w:color="auto"/>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57</w:t>
            </w:r>
          </w:p>
        </w:tc>
        <w:tc>
          <w:tcPr>
            <w:tcW w:w="541" w:type="dxa"/>
            <w:tcBorders>
              <w:top w:val="nil"/>
              <w:bottom w:val="single" w:sz="4" w:space="0" w:color="auto"/>
            </w:tcBorders>
            <w:shd w:val="clear" w:color="auto" w:fill="auto"/>
            <w:vAlign w:val="center"/>
          </w:tcPr>
          <w:p w:rsidR="005F56C6" w:rsidRPr="009C4415" w:rsidRDefault="002B1718" w:rsidP="00AE662C">
            <w:pPr>
              <w:tabs>
                <w:tab w:val="left" w:pos="343"/>
              </w:tabs>
              <w:ind w:right="-39"/>
              <w:jc w:val="center"/>
              <w:rPr>
                <w:bCs/>
                <w:color w:val="000000"/>
                <w:sz w:val="16"/>
                <w:szCs w:val="16"/>
              </w:rPr>
            </w:pPr>
            <w:r w:rsidRPr="009C4415">
              <w:rPr>
                <w:bCs/>
                <w:color w:val="000000"/>
                <w:sz w:val="16"/>
                <w:szCs w:val="16"/>
              </w:rPr>
              <w:t>38.5</w:t>
            </w:r>
          </w:p>
        </w:tc>
        <w:tc>
          <w:tcPr>
            <w:tcW w:w="806" w:type="dxa"/>
            <w:tcBorders>
              <w:top w:val="nil"/>
              <w:bottom w:val="single" w:sz="4" w:space="0" w:color="auto"/>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18</w:t>
            </w:r>
          </w:p>
        </w:tc>
        <w:tc>
          <w:tcPr>
            <w:tcW w:w="655" w:type="dxa"/>
            <w:tcBorders>
              <w:top w:val="nil"/>
              <w:bottom w:val="single" w:sz="4" w:space="0" w:color="auto"/>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12.2</w:t>
            </w:r>
          </w:p>
        </w:tc>
        <w:tc>
          <w:tcPr>
            <w:tcW w:w="828" w:type="dxa"/>
            <w:tcBorders>
              <w:top w:val="nil"/>
              <w:bottom w:val="single" w:sz="4" w:space="0" w:color="auto"/>
            </w:tcBorders>
            <w:shd w:val="clear" w:color="auto" w:fill="auto"/>
            <w:vAlign w:val="center"/>
          </w:tcPr>
          <w:p w:rsidR="005F56C6" w:rsidRPr="009C4415" w:rsidRDefault="002B1718" w:rsidP="00AE662C">
            <w:pPr>
              <w:jc w:val="center"/>
              <w:rPr>
                <w:bCs/>
                <w:color w:val="000000"/>
                <w:sz w:val="16"/>
                <w:szCs w:val="16"/>
              </w:rPr>
            </w:pPr>
            <w:r w:rsidRPr="009C4415">
              <w:rPr>
                <w:bCs/>
                <w:color w:val="000000"/>
                <w:sz w:val="16"/>
                <w:szCs w:val="16"/>
              </w:rPr>
              <w:t>75</w:t>
            </w:r>
          </w:p>
        </w:tc>
        <w:tc>
          <w:tcPr>
            <w:tcW w:w="1012" w:type="dxa"/>
            <w:gridSpan w:val="2"/>
            <w:tcBorders>
              <w:top w:val="nil"/>
              <w:bottom w:val="single" w:sz="4" w:space="0" w:color="auto"/>
            </w:tcBorders>
            <w:shd w:val="clear" w:color="auto" w:fill="auto"/>
            <w:vAlign w:val="center"/>
            <w:hideMark/>
          </w:tcPr>
          <w:p w:rsidR="005F56C6" w:rsidRPr="009C4415" w:rsidRDefault="002B1718" w:rsidP="00AE662C">
            <w:pPr>
              <w:ind w:right="-205"/>
              <w:jc w:val="center"/>
              <w:rPr>
                <w:color w:val="000000"/>
                <w:sz w:val="16"/>
                <w:szCs w:val="16"/>
              </w:rPr>
            </w:pPr>
            <w:r w:rsidRPr="009C4415">
              <w:rPr>
                <w:color w:val="000000"/>
                <w:sz w:val="16"/>
                <w:szCs w:val="16"/>
              </w:rPr>
              <w:t>50.7</w:t>
            </w:r>
          </w:p>
        </w:tc>
        <w:tc>
          <w:tcPr>
            <w:tcW w:w="1400" w:type="dxa"/>
            <w:gridSpan w:val="3"/>
            <w:tcBorders>
              <w:top w:val="nil"/>
              <w:bottom w:val="single" w:sz="4" w:space="0" w:color="auto"/>
            </w:tcBorders>
            <w:shd w:val="clear" w:color="auto" w:fill="auto"/>
            <w:vAlign w:val="center"/>
            <w:hideMark/>
          </w:tcPr>
          <w:p w:rsidR="005F56C6" w:rsidRPr="009C4415" w:rsidRDefault="005F56C6" w:rsidP="00AE662C">
            <w:pPr>
              <w:ind w:right="-205"/>
              <w:jc w:val="center"/>
              <w:rPr>
                <w:color w:val="000000"/>
                <w:sz w:val="16"/>
                <w:szCs w:val="16"/>
                <w:lang w:eastAsia="id-ID"/>
              </w:rPr>
            </w:pPr>
          </w:p>
        </w:tc>
      </w:tr>
    </w:tbl>
    <w:p w:rsidR="005F56C6" w:rsidRPr="009C4415" w:rsidRDefault="005F56C6" w:rsidP="00904D6D">
      <w:pPr>
        <w:rPr>
          <w:b/>
          <w:bCs/>
        </w:rPr>
      </w:pPr>
    </w:p>
    <w:p w:rsidR="0015216B" w:rsidRPr="009C4415" w:rsidRDefault="002B1718" w:rsidP="000F279B">
      <w:pPr>
        <w:ind w:firstLine="720"/>
        <w:jc w:val="both"/>
        <w:rPr>
          <w:b/>
          <w:bCs/>
        </w:rPr>
      </w:pPr>
      <w:r w:rsidRPr="009C4415">
        <w:rPr>
          <w:b/>
          <w:bCs/>
        </w:rPr>
        <w:t xml:space="preserve"> </w:t>
      </w:r>
    </w:p>
    <w:p w:rsidR="0015216B" w:rsidRPr="009C4415" w:rsidRDefault="0015216B" w:rsidP="000F279B">
      <w:pPr>
        <w:ind w:firstLine="720"/>
        <w:jc w:val="both"/>
        <w:rPr>
          <w:b/>
          <w:bCs/>
        </w:rPr>
      </w:pPr>
    </w:p>
    <w:p w:rsidR="0015216B" w:rsidRPr="009C4415" w:rsidRDefault="0015216B" w:rsidP="000F279B">
      <w:pPr>
        <w:ind w:firstLine="720"/>
        <w:jc w:val="both"/>
        <w:rPr>
          <w:b/>
          <w:bCs/>
        </w:rPr>
      </w:pPr>
    </w:p>
    <w:p w:rsidR="0015216B" w:rsidRPr="009C4415" w:rsidRDefault="0015216B" w:rsidP="000F279B">
      <w:pPr>
        <w:ind w:firstLine="720"/>
        <w:jc w:val="both"/>
        <w:rPr>
          <w:b/>
          <w:bCs/>
        </w:rPr>
      </w:pPr>
    </w:p>
    <w:p w:rsidR="0015216B" w:rsidRPr="009C4415" w:rsidRDefault="0015216B" w:rsidP="000F279B">
      <w:pPr>
        <w:ind w:firstLine="720"/>
        <w:jc w:val="both"/>
        <w:rPr>
          <w:rFonts w:ascii="Adobe Garamond Pro" w:eastAsia="PMingLiU" w:hAnsi="Adobe Garamond Pro"/>
          <w:color w:val="000000"/>
        </w:rPr>
      </w:pPr>
    </w:p>
    <w:p w:rsidR="0015216B" w:rsidRPr="009C4415" w:rsidRDefault="0015216B" w:rsidP="000F279B">
      <w:pPr>
        <w:ind w:firstLine="720"/>
        <w:jc w:val="both"/>
        <w:rPr>
          <w:rFonts w:ascii="Adobe Garamond Pro" w:eastAsia="PMingLiU" w:hAnsi="Adobe Garamond Pro"/>
          <w:color w:val="000000"/>
        </w:rPr>
      </w:pPr>
    </w:p>
    <w:p w:rsidR="0015216B" w:rsidRPr="009C4415" w:rsidRDefault="0015216B" w:rsidP="000F279B">
      <w:pPr>
        <w:ind w:firstLine="720"/>
        <w:jc w:val="both"/>
        <w:rPr>
          <w:rFonts w:ascii="Adobe Garamond Pro" w:eastAsia="PMingLiU" w:hAnsi="Adobe Garamond Pro"/>
          <w:color w:val="000000"/>
        </w:rPr>
      </w:pPr>
    </w:p>
    <w:p w:rsidR="0015216B" w:rsidRPr="009C4415" w:rsidRDefault="0015216B" w:rsidP="000F279B">
      <w:pPr>
        <w:ind w:firstLine="720"/>
        <w:jc w:val="both"/>
        <w:rPr>
          <w:rFonts w:ascii="Adobe Garamond Pro" w:eastAsia="PMingLiU" w:hAnsi="Adobe Garamond Pro"/>
          <w:color w:val="000000"/>
        </w:rPr>
      </w:pPr>
    </w:p>
    <w:p w:rsidR="0015216B" w:rsidRPr="009C4415" w:rsidRDefault="0015216B" w:rsidP="000F279B">
      <w:pPr>
        <w:ind w:firstLine="720"/>
        <w:jc w:val="both"/>
        <w:rPr>
          <w:rFonts w:ascii="Adobe Garamond Pro" w:eastAsia="PMingLiU" w:hAnsi="Adobe Garamond Pro"/>
          <w:color w:val="000000"/>
        </w:rPr>
      </w:pPr>
    </w:p>
    <w:p w:rsidR="0015216B" w:rsidRPr="009C4415" w:rsidRDefault="0015216B" w:rsidP="000F279B">
      <w:pPr>
        <w:ind w:firstLine="720"/>
        <w:jc w:val="both"/>
        <w:rPr>
          <w:rFonts w:ascii="Adobe Garamond Pro" w:eastAsia="PMingLiU" w:hAnsi="Adobe Garamond Pro"/>
          <w:color w:val="000000"/>
        </w:rPr>
      </w:pPr>
    </w:p>
    <w:p w:rsidR="0015216B" w:rsidRPr="009C4415" w:rsidRDefault="0015216B" w:rsidP="000F279B">
      <w:pPr>
        <w:ind w:firstLine="720"/>
        <w:jc w:val="both"/>
        <w:rPr>
          <w:rFonts w:ascii="Adobe Garamond Pro" w:eastAsia="PMingLiU" w:hAnsi="Adobe Garamond Pro"/>
          <w:color w:val="000000"/>
        </w:rPr>
      </w:pPr>
    </w:p>
    <w:p w:rsidR="0015216B" w:rsidRPr="009C4415" w:rsidRDefault="0015216B" w:rsidP="000F279B">
      <w:pPr>
        <w:ind w:firstLine="720"/>
        <w:jc w:val="both"/>
        <w:rPr>
          <w:rFonts w:ascii="Adobe Garamond Pro" w:eastAsia="PMingLiU" w:hAnsi="Adobe Garamond Pro"/>
          <w:color w:val="000000"/>
        </w:rPr>
      </w:pPr>
    </w:p>
    <w:p w:rsidR="009A3722" w:rsidRPr="009C4415" w:rsidRDefault="009A3722" w:rsidP="0015216B">
      <w:pPr>
        <w:spacing w:line="360" w:lineRule="auto"/>
        <w:contextualSpacing/>
        <w:jc w:val="both"/>
        <w:rPr>
          <w:rFonts w:ascii="Adobe Garamond Pro" w:eastAsia="PMingLiU" w:hAnsi="Adobe Garamond Pro"/>
          <w:color w:val="000000"/>
        </w:rPr>
      </w:pPr>
    </w:p>
    <w:p w:rsidR="00AE662C" w:rsidRPr="009C4415" w:rsidRDefault="00AE662C" w:rsidP="00AE662C">
      <w:pPr>
        <w:autoSpaceDE w:val="0"/>
        <w:autoSpaceDN w:val="0"/>
        <w:adjustRightInd w:val="0"/>
        <w:ind w:right="62"/>
        <w:jc w:val="center"/>
        <w:rPr>
          <w:bCs/>
          <w:color w:val="000000"/>
          <w:szCs w:val="19"/>
        </w:rPr>
      </w:pPr>
    </w:p>
    <w:p w:rsidR="00AE662C" w:rsidRPr="009C4415" w:rsidRDefault="00AE662C" w:rsidP="00AE662C">
      <w:pPr>
        <w:autoSpaceDE w:val="0"/>
        <w:autoSpaceDN w:val="0"/>
        <w:adjustRightInd w:val="0"/>
        <w:ind w:right="62"/>
        <w:jc w:val="center"/>
        <w:rPr>
          <w:bCs/>
          <w:color w:val="000000"/>
          <w:szCs w:val="19"/>
        </w:rPr>
      </w:pPr>
      <w:r w:rsidRPr="009C4415">
        <w:rPr>
          <w:bCs/>
          <w:color w:val="000000"/>
          <w:szCs w:val="19"/>
        </w:rPr>
        <w:t>Table 3. The Results of the Analysis of the Relationship between BMI, Sleep Quality, Stress Conditions and Menstrual Cycles</w:t>
      </w:r>
    </w:p>
    <w:tbl>
      <w:tblPr>
        <w:tblW w:w="5778" w:type="dxa"/>
        <w:tblInd w:w="182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85"/>
        <w:gridCol w:w="733"/>
        <w:gridCol w:w="829"/>
        <w:gridCol w:w="712"/>
        <w:gridCol w:w="706"/>
        <w:gridCol w:w="813"/>
      </w:tblGrid>
      <w:tr w:rsidR="002B1718" w:rsidRPr="009C4415" w:rsidTr="00C02EC6">
        <w:tc>
          <w:tcPr>
            <w:tcW w:w="1985" w:type="dxa"/>
            <w:vMerge w:val="restart"/>
            <w:shd w:val="clear" w:color="auto" w:fill="auto"/>
            <w:vAlign w:val="center"/>
          </w:tcPr>
          <w:p w:rsidR="0015216B" w:rsidRPr="009C4415" w:rsidRDefault="002B1718" w:rsidP="00AE662C">
            <w:pPr>
              <w:contextualSpacing/>
              <w:jc w:val="center"/>
              <w:rPr>
                <w:rFonts w:eastAsia="Calibri"/>
                <w:color w:val="000000"/>
                <w:sz w:val="16"/>
                <w:szCs w:val="16"/>
              </w:rPr>
            </w:pPr>
            <w:r w:rsidRPr="009C4415">
              <w:rPr>
                <w:color w:val="000000"/>
                <w:sz w:val="16"/>
                <w:szCs w:val="16"/>
              </w:rPr>
              <w:t>Variables</w:t>
            </w:r>
          </w:p>
        </w:tc>
        <w:tc>
          <w:tcPr>
            <w:tcW w:w="733" w:type="dxa"/>
            <w:vMerge w:val="restart"/>
            <w:shd w:val="clear" w:color="auto" w:fill="auto"/>
            <w:vAlign w:val="center"/>
          </w:tcPr>
          <w:p w:rsidR="0015216B" w:rsidRPr="009C4415" w:rsidRDefault="002B1718" w:rsidP="00AE662C">
            <w:pPr>
              <w:contextualSpacing/>
              <w:jc w:val="center"/>
              <w:rPr>
                <w:rFonts w:eastAsia="Calibri"/>
                <w:color w:val="000000"/>
                <w:sz w:val="16"/>
                <w:szCs w:val="16"/>
              </w:rPr>
            </w:pPr>
            <w:r w:rsidRPr="009C4415">
              <w:rPr>
                <w:color w:val="000000"/>
                <w:sz w:val="16"/>
                <w:szCs w:val="16"/>
              </w:rPr>
              <w:t>B</w:t>
            </w:r>
          </w:p>
        </w:tc>
        <w:tc>
          <w:tcPr>
            <w:tcW w:w="829" w:type="dxa"/>
            <w:vMerge w:val="restart"/>
            <w:shd w:val="clear" w:color="auto" w:fill="auto"/>
            <w:vAlign w:val="center"/>
          </w:tcPr>
          <w:p w:rsidR="0015216B" w:rsidRPr="009C4415" w:rsidRDefault="002B1718" w:rsidP="00AE662C">
            <w:pPr>
              <w:contextualSpacing/>
              <w:jc w:val="center"/>
              <w:rPr>
                <w:rFonts w:eastAsia="Calibri"/>
                <w:color w:val="000000"/>
                <w:sz w:val="16"/>
                <w:szCs w:val="16"/>
              </w:rPr>
            </w:pPr>
            <w:r w:rsidRPr="009C4415">
              <w:rPr>
                <w:color w:val="000000"/>
                <w:sz w:val="16"/>
                <w:szCs w:val="16"/>
              </w:rPr>
              <w:t>OR (Exp B)</w:t>
            </w:r>
          </w:p>
        </w:tc>
        <w:tc>
          <w:tcPr>
            <w:tcW w:w="1418" w:type="dxa"/>
            <w:gridSpan w:val="2"/>
            <w:shd w:val="clear" w:color="auto" w:fill="auto"/>
            <w:vAlign w:val="center"/>
          </w:tcPr>
          <w:p w:rsidR="0015216B" w:rsidRPr="009C4415" w:rsidRDefault="002B1718" w:rsidP="00AE662C">
            <w:pPr>
              <w:contextualSpacing/>
              <w:jc w:val="center"/>
              <w:rPr>
                <w:rFonts w:eastAsia="Calibri"/>
                <w:color w:val="000000"/>
                <w:sz w:val="16"/>
                <w:szCs w:val="16"/>
              </w:rPr>
            </w:pPr>
            <w:r w:rsidRPr="009C4415">
              <w:rPr>
                <w:color w:val="000000"/>
                <w:sz w:val="16"/>
                <w:szCs w:val="16"/>
              </w:rPr>
              <w:t>95% CI for Exp</w:t>
            </w:r>
            <w:r w:rsidR="009C4415">
              <w:rPr>
                <w:color w:val="000000"/>
                <w:sz w:val="16"/>
                <w:szCs w:val="16"/>
              </w:rPr>
              <w:t xml:space="preserve"> </w:t>
            </w:r>
            <w:r w:rsidRPr="009C4415">
              <w:rPr>
                <w:color w:val="000000"/>
                <w:sz w:val="16"/>
                <w:szCs w:val="16"/>
              </w:rPr>
              <w:t>(B)</w:t>
            </w:r>
          </w:p>
        </w:tc>
        <w:tc>
          <w:tcPr>
            <w:tcW w:w="813" w:type="dxa"/>
            <w:vMerge w:val="restart"/>
            <w:shd w:val="clear" w:color="auto" w:fill="auto"/>
            <w:vAlign w:val="center"/>
          </w:tcPr>
          <w:p w:rsidR="0015216B" w:rsidRPr="009C4415" w:rsidRDefault="002B1718" w:rsidP="00AE662C">
            <w:pPr>
              <w:contextualSpacing/>
              <w:jc w:val="center"/>
              <w:rPr>
                <w:rFonts w:eastAsia="Calibri"/>
                <w:color w:val="000000"/>
                <w:sz w:val="16"/>
                <w:szCs w:val="16"/>
              </w:rPr>
            </w:pPr>
            <w:r w:rsidRPr="009C4415">
              <w:rPr>
                <w:color w:val="000000"/>
                <w:sz w:val="16"/>
                <w:szCs w:val="16"/>
              </w:rPr>
              <w:t>p</w:t>
            </w:r>
          </w:p>
        </w:tc>
      </w:tr>
      <w:tr w:rsidR="002B1718" w:rsidRPr="009C4415" w:rsidTr="00C02EC6">
        <w:tc>
          <w:tcPr>
            <w:tcW w:w="1985" w:type="dxa"/>
            <w:vMerge/>
            <w:tcBorders>
              <w:bottom w:val="single" w:sz="4" w:space="0" w:color="auto"/>
            </w:tcBorders>
            <w:shd w:val="clear" w:color="auto" w:fill="auto"/>
          </w:tcPr>
          <w:p w:rsidR="0015216B" w:rsidRPr="009C4415" w:rsidRDefault="0015216B" w:rsidP="00AE662C">
            <w:pPr>
              <w:contextualSpacing/>
              <w:jc w:val="both"/>
              <w:rPr>
                <w:rFonts w:eastAsia="Calibri"/>
                <w:color w:val="000000"/>
                <w:sz w:val="16"/>
                <w:szCs w:val="16"/>
              </w:rPr>
            </w:pPr>
          </w:p>
        </w:tc>
        <w:tc>
          <w:tcPr>
            <w:tcW w:w="733" w:type="dxa"/>
            <w:vMerge/>
            <w:tcBorders>
              <w:bottom w:val="single" w:sz="4" w:space="0" w:color="auto"/>
            </w:tcBorders>
            <w:shd w:val="clear" w:color="auto" w:fill="auto"/>
          </w:tcPr>
          <w:p w:rsidR="0015216B" w:rsidRPr="009C4415" w:rsidRDefault="0015216B" w:rsidP="00AE662C">
            <w:pPr>
              <w:contextualSpacing/>
              <w:jc w:val="both"/>
              <w:rPr>
                <w:rFonts w:eastAsia="Calibri"/>
                <w:color w:val="000000"/>
                <w:sz w:val="16"/>
                <w:szCs w:val="16"/>
              </w:rPr>
            </w:pPr>
          </w:p>
        </w:tc>
        <w:tc>
          <w:tcPr>
            <w:tcW w:w="829" w:type="dxa"/>
            <w:vMerge/>
            <w:tcBorders>
              <w:bottom w:val="single" w:sz="4" w:space="0" w:color="auto"/>
            </w:tcBorders>
            <w:shd w:val="clear" w:color="auto" w:fill="auto"/>
          </w:tcPr>
          <w:p w:rsidR="0015216B" w:rsidRPr="009C4415" w:rsidRDefault="0015216B" w:rsidP="00AE662C">
            <w:pPr>
              <w:contextualSpacing/>
              <w:jc w:val="both"/>
              <w:rPr>
                <w:rFonts w:eastAsia="Calibri"/>
                <w:color w:val="000000"/>
                <w:sz w:val="16"/>
                <w:szCs w:val="16"/>
              </w:rPr>
            </w:pPr>
          </w:p>
        </w:tc>
        <w:tc>
          <w:tcPr>
            <w:tcW w:w="712" w:type="dxa"/>
            <w:tcBorders>
              <w:bottom w:val="single" w:sz="4" w:space="0" w:color="auto"/>
            </w:tcBorders>
            <w:shd w:val="clear" w:color="auto" w:fill="auto"/>
            <w:vAlign w:val="center"/>
          </w:tcPr>
          <w:p w:rsidR="0015216B" w:rsidRPr="009C4415" w:rsidRDefault="002B1718" w:rsidP="00AE662C">
            <w:pPr>
              <w:contextualSpacing/>
              <w:jc w:val="center"/>
              <w:rPr>
                <w:rFonts w:eastAsia="Calibri"/>
                <w:color w:val="000000"/>
                <w:sz w:val="16"/>
                <w:szCs w:val="16"/>
              </w:rPr>
            </w:pPr>
            <w:r w:rsidRPr="009C4415">
              <w:rPr>
                <w:color w:val="000000"/>
                <w:sz w:val="16"/>
                <w:szCs w:val="16"/>
              </w:rPr>
              <w:t>Lower</w:t>
            </w:r>
          </w:p>
        </w:tc>
        <w:tc>
          <w:tcPr>
            <w:tcW w:w="706" w:type="dxa"/>
            <w:tcBorders>
              <w:bottom w:val="single" w:sz="4" w:space="0" w:color="auto"/>
            </w:tcBorders>
            <w:shd w:val="clear" w:color="auto" w:fill="auto"/>
            <w:vAlign w:val="center"/>
          </w:tcPr>
          <w:p w:rsidR="0015216B" w:rsidRPr="009C4415" w:rsidRDefault="002B1718" w:rsidP="00AE662C">
            <w:pPr>
              <w:contextualSpacing/>
              <w:jc w:val="center"/>
              <w:rPr>
                <w:rFonts w:eastAsia="Calibri"/>
                <w:color w:val="000000"/>
                <w:sz w:val="16"/>
                <w:szCs w:val="16"/>
              </w:rPr>
            </w:pPr>
            <w:r w:rsidRPr="009C4415">
              <w:rPr>
                <w:color w:val="000000"/>
                <w:sz w:val="16"/>
                <w:szCs w:val="16"/>
              </w:rPr>
              <w:t>Upper</w:t>
            </w:r>
          </w:p>
        </w:tc>
        <w:tc>
          <w:tcPr>
            <w:tcW w:w="813" w:type="dxa"/>
            <w:vMerge/>
            <w:tcBorders>
              <w:bottom w:val="single" w:sz="4" w:space="0" w:color="auto"/>
            </w:tcBorders>
            <w:shd w:val="clear" w:color="auto" w:fill="auto"/>
          </w:tcPr>
          <w:p w:rsidR="0015216B" w:rsidRPr="009C4415" w:rsidRDefault="0015216B" w:rsidP="00AE662C">
            <w:pPr>
              <w:contextualSpacing/>
              <w:jc w:val="both"/>
              <w:rPr>
                <w:rFonts w:eastAsia="Calibri"/>
                <w:color w:val="000000"/>
                <w:sz w:val="16"/>
                <w:szCs w:val="16"/>
              </w:rPr>
            </w:pPr>
          </w:p>
        </w:tc>
      </w:tr>
      <w:tr w:rsidR="002B1718" w:rsidRPr="009C4415" w:rsidTr="00C02EC6">
        <w:tc>
          <w:tcPr>
            <w:tcW w:w="1985" w:type="dxa"/>
            <w:tcBorders>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BMI</w:t>
            </w:r>
          </w:p>
        </w:tc>
        <w:tc>
          <w:tcPr>
            <w:tcW w:w="733" w:type="dxa"/>
            <w:tcBorders>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0.646</w:t>
            </w:r>
          </w:p>
        </w:tc>
        <w:tc>
          <w:tcPr>
            <w:tcW w:w="829" w:type="dxa"/>
            <w:tcBorders>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1.908</w:t>
            </w:r>
          </w:p>
        </w:tc>
        <w:tc>
          <w:tcPr>
            <w:tcW w:w="712" w:type="dxa"/>
            <w:tcBorders>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0.936</w:t>
            </w:r>
          </w:p>
        </w:tc>
        <w:tc>
          <w:tcPr>
            <w:tcW w:w="706" w:type="dxa"/>
            <w:tcBorders>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3.890</w:t>
            </w:r>
          </w:p>
        </w:tc>
        <w:tc>
          <w:tcPr>
            <w:tcW w:w="813" w:type="dxa"/>
            <w:tcBorders>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0.075</w:t>
            </w:r>
          </w:p>
        </w:tc>
      </w:tr>
      <w:tr w:rsidR="002B1718" w:rsidRPr="009C4415" w:rsidTr="00C02EC6">
        <w:tc>
          <w:tcPr>
            <w:tcW w:w="1985" w:type="dxa"/>
            <w:tcBorders>
              <w:top w:val="nil"/>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Sleep Quality</w:t>
            </w:r>
          </w:p>
        </w:tc>
        <w:tc>
          <w:tcPr>
            <w:tcW w:w="733" w:type="dxa"/>
            <w:tcBorders>
              <w:top w:val="nil"/>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0.717</w:t>
            </w:r>
          </w:p>
        </w:tc>
        <w:tc>
          <w:tcPr>
            <w:tcW w:w="829" w:type="dxa"/>
            <w:tcBorders>
              <w:top w:val="nil"/>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2.047</w:t>
            </w:r>
          </w:p>
        </w:tc>
        <w:tc>
          <w:tcPr>
            <w:tcW w:w="712" w:type="dxa"/>
            <w:tcBorders>
              <w:top w:val="nil"/>
              <w:bottom w:val="nil"/>
            </w:tcBorders>
            <w:shd w:val="clear" w:color="auto" w:fill="auto"/>
            <w:vAlign w:val="center"/>
          </w:tcPr>
          <w:p w:rsidR="0015216B" w:rsidRPr="009C4415" w:rsidRDefault="002B1718" w:rsidP="00AE662C">
            <w:pPr>
              <w:ind w:right="-108"/>
              <w:rPr>
                <w:color w:val="000000"/>
                <w:sz w:val="16"/>
                <w:szCs w:val="16"/>
              </w:rPr>
            </w:pPr>
            <w:r w:rsidRPr="009C4415">
              <w:rPr>
                <w:color w:val="000000"/>
                <w:sz w:val="16"/>
                <w:szCs w:val="16"/>
              </w:rPr>
              <w:t>0.822</w:t>
            </w:r>
          </w:p>
        </w:tc>
        <w:tc>
          <w:tcPr>
            <w:tcW w:w="706" w:type="dxa"/>
            <w:tcBorders>
              <w:top w:val="nil"/>
              <w:bottom w:val="nil"/>
            </w:tcBorders>
            <w:shd w:val="clear" w:color="auto" w:fill="auto"/>
            <w:vAlign w:val="center"/>
          </w:tcPr>
          <w:p w:rsidR="0015216B" w:rsidRPr="009C4415" w:rsidRDefault="002B1718" w:rsidP="00AE662C">
            <w:pPr>
              <w:ind w:right="-108"/>
              <w:rPr>
                <w:color w:val="000000"/>
                <w:sz w:val="16"/>
                <w:szCs w:val="16"/>
              </w:rPr>
            </w:pPr>
            <w:r w:rsidRPr="009C4415">
              <w:rPr>
                <w:color w:val="000000"/>
                <w:sz w:val="16"/>
                <w:szCs w:val="16"/>
              </w:rPr>
              <w:t>5.099</w:t>
            </w:r>
          </w:p>
        </w:tc>
        <w:tc>
          <w:tcPr>
            <w:tcW w:w="813" w:type="dxa"/>
            <w:tcBorders>
              <w:top w:val="nil"/>
              <w:bottom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0.124</w:t>
            </w:r>
          </w:p>
        </w:tc>
      </w:tr>
      <w:tr w:rsidR="002B1718" w:rsidRPr="009C4415" w:rsidTr="00C02EC6">
        <w:tc>
          <w:tcPr>
            <w:tcW w:w="1985" w:type="dxa"/>
            <w:tcBorders>
              <w:top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Stress Conditions</w:t>
            </w:r>
          </w:p>
        </w:tc>
        <w:tc>
          <w:tcPr>
            <w:tcW w:w="733" w:type="dxa"/>
            <w:tcBorders>
              <w:top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0.814</w:t>
            </w:r>
          </w:p>
        </w:tc>
        <w:tc>
          <w:tcPr>
            <w:tcW w:w="829" w:type="dxa"/>
            <w:tcBorders>
              <w:top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2.257</w:t>
            </w:r>
          </w:p>
        </w:tc>
        <w:tc>
          <w:tcPr>
            <w:tcW w:w="712" w:type="dxa"/>
            <w:tcBorders>
              <w:top w:val="nil"/>
            </w:tcBorders>
            <w:shd w:val="clear" w:color="auto" w:fill="auto"/>
            <w:vAlign w:val="center"/>
          </w:tcPr>
          <w:p w:rsidR="0015216B" w:rsidRPr="009C4415" w:rsidRDefault="002B1718" w:rsidP="00AE662C">
            <w:pPr>
              <w:ind w:right="-108"/>
              <w:rPr>
                <w:color w:val="000000"/>
                <w:sz w:val="16"/>
                <w:szCs w:val="16"/>
              </w:rPr>
            </w:pPr>
            <w:r w:rsidRPr="009C4415">
              <w:rPr>
                <w:color w:val="000000"/>
                <w:sz w:val="16"/>
                <w:szCs w:val="16"/>
              </w:rPr>
              <w:t>1.075</w:t>
            </w:r>
          </w:p>
        </w:tc>
        <w:tc>
          <w:tcPr>
            <w:tcW w:w="706" w:type="dxa"/>
            <w:tcBorders>
              <w:top w:val="nil"/>
            </w:tcBorders>
            <w:shd w:val="clear" w:color="auto" w:fill="auto"/>
            <w:vAlign w:val="center"/>
          </w:tcPr>
          <w:p w:rsidR="0015216B" w:rsidRPr="009C4415" w:rsidRDefault="002B1718" w:rsidP="00AE662C">
            <w:pPr>
              <w:ind w:right="-108"/>
              <w:rPr>
                <w:color w:val="000000"/>
                <w:sz w:val="16"/>
                <w:szCs w:val="16"/>
              </w:rPr>
            </w:pPr>
            <w:r w:rsidRPr="009C4415">
              <w:rPr>
                <w:color w:val="000000"/>
                <w:sz w:val="16"/>
                <w:szCs w:val="16"/>
              </w:rPr>
              <w:t>4.737</w:t>
            </w:r>
          </w:p>
        </w:tc>
        <w:tc>
          <w:tcPr>
            <w:tcW w:w="813" w:type="dxa"/>
            <w:tcBorders>
              <w:top w:val="nil"/>
            </w:tcBorders>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0.031</w:t>
            </w:r>
          </w:p>
        </w:tc>
      </w:tr>
      <w:tr w:rsidR="002B1718" w:rsidRPr="009C4415" w:rsidTr="00C02EC6">
        <w:tc>
          <w:tcPr>
            <w:tcW w:w="1985" w:type="dxa"/>
            <w:shd w:val="clear" w:color="auto" w:fill="auto"/>
          </w:tcPr>
          <w:p w:rsidR="0015216B" w:rsidRPr="009C4415" w:rsidRDefault="002B1718" w:rsidP="00AE662C">
            <w:pPr>
              <w:contextualSpacing/>
              <w:jc w:val="both"/>
              <w:rPr>
                <w:rFonts w:eastAsia="Calibri"/>
                <w:color w:val="000000"/>
                <w:sz w:val="16"/>
                <w:szCs w:val="16"/>
              </w:rPr>
            </w:pPr>
            <w:r w:rsidRPr="009C4415">
              <w:rPr>
                <w:color w:val="000000"/>
                <w:sz w:val="16"/>
                <w:szCs w:val="16"/>
              </w:rPr>
              <w:t>Constant</w:t>
            </w:r>
          </w:p>
        </w:tc>
        <w:tc>
          <w:tcPr>
            <w:tcW w:w="733" w:type="dxa"/>
            <w:shd w:val="clear" w:color="auto" w:fill="auto"/>
          </w:tcPr>
          <w:p w:rsidR="0015216B" w:rsidRPr="009C4415" w:rsidRDefault="002B1718" w:rsidP="00AE662C">
            <w:pPr>
              <w:contextualSpacing/>
              <w:jc w:val="both"/>
              <w:rPr>
                <w:color w:val="000000"/>
                <w:sz w:val="16"/>
                <w:szCs w:val="16"/>
              </w:rPr>
            </w:pPr>
            <w:r w:rsidRPr="009C4415">
              <w:rPr>
                <w:color w:val="000000"/>
                <w:sz w:val="16"/>
                <w:szCs w:val="16"/>
              </w:rPr>
              <w:t>-1.890</w:t>
            </w:r>
          </w:p>
        </w:tc>
        <w:tc>
          <w:tcPr>
            <w:tcW w:w="829" w:type="dxa"/>
            <w:shd w:val="clear" w:color="auto" w:fill="auto"/>
          </w:tcPr>
          <w:p w:rsidR="0015216B" w:rsidRPr="009C4415" w:rsidRDefault="002B1718" w:rsidP="00AE662C">
            <w:pPr>
              <w:contextualSpacing/>
              <w:jc w:val="both"/>
              <w:rPr>
                <w:color w:val="000000"/>
                <w:sz w:val="16"/>
                <w:szCs w:val="16"/>
              </w:rPr>
            </w:pPr>
            <w:r w:rsidRPr="009C4415">
              <w:rPr>
                <w:color w:val="000000"/>
                <w:sz w:val="16"/>
                <w:szCs w:val="16"/>
              </w:rPr>
              <w:t>0.151</w:t>
            </w:r>
          </w:p>
        </w:tc>
        <w:tc>
          <w:tcPr>
            <w:tcW w:w="712" w:type="dxa"/>
            <w:shd w:val="clear" w:color="auto" w:fill="auto"/>
            <w:vAlign w:val="center"/>
          </w:tcPr>
          <w:p w:rsidR="0015216B" w:rsidRPr="009C4415" w:rsidRDefault="0015216B" w:rsidP="00AE662C">
            <w:pPr>
              <w:ind w:right="-108"/>
              <w:rPr>
                <w:color w:val="000000"/>
                <w:sz w:val="16"/>
                <w:szCs w:val="16"/>
                <w:lang w:eastAsia="id-ID"/>
              </w:rPr>
            </w:pPr>
          </w:p>
        </w:tc>
        <w:tc>
          <w:tcPr>
            <w:tcW w:w="706" w:type="dxa"/>
            <w:shd w:val="clear" w:color="auto" w:fill="auto"/>
            <w:vAlign w:val="center"/>
          </w:tcPr>
          <w:p w:rsidR="0015216B" w:rsidRPr="009C4415" w:rsidRDefault="0015216B" w:rsidP="00AE662C">
            <w:pPr>
              <w:ind w:right="-108"/>
              <w:rPr>
                <w:color w:val="000000"/>
                <w:sz w:val="16"/>
                <w:szCs w:val="16"/>
                <w:lang w:eastAsia="id-ID"/>
              </w:rPr>
            </w:pPr>
          </w:p>
        </w:tc>
        <w:tc>
          <w:tcPr>
            <w:tcW w:w="813" w:type="dxa"/>
            <w:shd w:val="clear" w:color="auto" w:fill="auto"/>
          </w:tcPr>
          <w:p w:rsidR="0015216B" w:rsidRPr="009C4415" w:rsidRDefault="002B1718" w:rsidP="00AE662C">
            <w:pPr>
              <w:contextualSpacing/>
              <w:jc w:val="both"/>
              <w:rPr>
                <w:color w:val="000000"/>
                <w:sz w:val="16"/>
                <w:szCs w:val="16"/>
              </w:rPr>
            </w:pPr>
            <w:r w:rsidRPr="009C4415">
              <w:rPr>
                <w:color w:val="000000"/>
                <w:sz w:val="16"/>
                <w:szCs w:val="16"/>
              </w:rPr>
              <w:t>0.000</w:t>
            </w:r>
          </w:p>
        </w:tc>
      </w:tr>
    </w:tbl>
    <w:p w:rsidR="0015216B" w:rsidRPr="009C4415" w:rsidRDefault="0015216B" w:rsidP="0015216B">
      <w:pPr>
        <w:rPr>
          <w:b/>
          <w:bCs/>
        </w:rPr>
      </w:pPr>
    </w:p>
    <w:p w:rsidR="000F279B" w:rsidRPr="009C4415" w:rsidRDefault="002B1718" w:rsidP="000F279B">
      <w:pPr>
        <w:ind w:firstLine="720"/>
        <w:jc w:val="both"/>
        <w:rPr>
          <w:rFonts w:eastAsia="PMingLiU"/>
          <w:color w:val="000000"/>
        </w:rPr>
      </w:pPr>
      <w:r w:rsidRPr="009C4415">
        <w:rPr>
          <w:color w:val="000000"/>
        </w:rPr>
        <w:t>The results of the bivariate analysis showed a significant relationship between BMI and the menstrual cycle (p = 0.03). This means that BMI has an influence on the adolescent menstrual cycle. This research is in li</w:t>
      </w:r>
      <w:r w:rsidR="00D728F2">
        <w:rPr>
          <w:color w:val="000000"/>
        </w:rPr>
        <w:t>ne with Anggraini's research [14</w:t>
      </w:r>
      <w:r w:rsidRPr="009C4415">
        <w:rPr>
          <w:color w:val="000000"/>
        </w:rPr>
        <w:t xml:space="preserve">] that there is a relationship between BMI and the menstrual cycle. However, after the advanced test, it was found that BMI was not related to the menstrual cycle. This does not mean that BMI has nothing to do with the menstrual cycle. The absence of a relationship in this case may be due to the unequal data distribution between the respondents with normal BMI and those with abnormal BMI by 56.3%, more than that of the respondents with normal BMI. In Table 3, it can be seen that the adolescents with abnormal BMI are 1.91 times more likely to experience irregular menstrual cycles than those with normal BMI. </w:t>
      </w:r>
    </w:p>
    <w:p w:rsidR="0015216B" w:rsidRPr="009C4415" w:rsidRDefault="002B1718" w:rsidP="0015216B">
      <w:pPr>
        <w:ind w:firstLine="720"/>
        <w:jc w:val="both"/>
        <w:rPr>
          <w:rFonts w:eastAsia="Calibri"/>
          <w:color w:val="000000"/>
        </w:rPr>
      </w:pPr>
      <w:r w:rsidRPr="009C4415">
        <w:rPr>
          <w:color w:val="000000"/>
        </w:rPr>
        <w:t xml:space="preserve">Malnutrition and excess nutrition will have an impact on the decline of hypothalamic function that does not provide stimulation to the anterior pituitary to produce FSH (Follicle Stimulating Hormone) </w:t>
      </w:r>
      <w:r w:rsidR="00D728F2">
        <w:rPr>
          <w:color w:val="000000"/>
        </w:rPr>
        <w:t>and LH (Luteinizing Hormone) [15</w:t>
      </w:r>
      <w:r w:rsidRPr="009C4415">
        <w:rPr>
          <w:color w:val="000000"/>
        </w:rPr>
        <w:t>]. These hormones are very influential on menstruation. More nutrition in female adolescents can cause menstrual disorders due to an increase in oestrogen production, which is known that in addition to the ovary adipose tissue, it can also produce oestrogen. Continual increase in oestrogen indirectly causes an increase in androgen hormone which can interfere with follicle development so that it can</w:t>
      </w:r>
      <w:r w:rsidR="00D728F2">
        <w:rPr>
          <w:color w:val="000000"/>
        </w:rPr>
        <w:t>not produce mature follicles [16</w:t>
      </w:r>
      <w:r w:rsidRPr="009C4415">
        <w:rPr>
          <w:color w:val="000000"/>
        </w:rPr>
        <w:t>]. Obesity conditions are related to the process of changing androgens to oestrogens. Highly nutritious and fat foods will result in weight gain in female adolescents. Cholesterol found in excessive body fat is a precursor of oestrogen so that oestrogen production tends to be excessive. The level of oestrogen in the blood will incr</w:t>
      </w:r>
      <w:r w:rsidR="00D728F2">
        <w:rPr>
          <w:color w:val="000000"/>
        </w:rPr>
        <w:t>ease due to high cholesterol [17</w:t>
      </w:r>
      <w:r w:rsidRPr="009C4415">
        <w:rPr>
          <w:color w:val="000000"/>
        </w:rPr>
        <w:t>]. A rapid increase in the oestrogen level gives rise to positive feedback on the hypothalamus and pituitary gland resulting in the LH surge. The fast LH secretion lowers the hyperandrogenism of the testosterone level so t</w:t>
      </w:r>
      <w:r w:rsidR="00D728F2">
        <w:rPr>
          <w:color w:val="000000"/>
        </w:rPr>
        <w:t>hat ovulation does not occur [17</w:t>
      </w:r>
      <w:r w:rsidRPr="009C4415">
        <w:rPr>
          <w:color w:val="000000"/>
        </w:rPr>
        <w:t>]. Female adolescents who have very thin nutritional status will experience obstacles with menstruation. Drastic weight loss can cause a decrease in the gonadotropin hormone for the LH and FSH secretions which result in the oestrogen going down so that it has a negative impact on the menstrual cycle. The impaired LH secretion due to weight loss can cause the sh</w:t>
      </w:r>
      <w:r w:rsidR="00D728F2">
        <w:rPr>
          <w:color w:val="000000"/>
        </w:rPr>
        <w:t>ortening of the luteal phase [18</w:t>
      </w:r>
      <w:r w:rsidRPr="009C4415">
        <w:rPr>
          <w:color w:val="000000"/>
        </w:rPr>
        <w:t>]. Malnutrition is considered to be one of the important factors that cause interference with the hyp</w:t>
      </w:r>
      <w:r w:rsidR="00D728F2">
        <w:rPr>
          <w:color w:val="000000"/>
        </w:rPr>
        <w:t>othalamic-hypophysical-ovary [19</w:t>
      </w:r>
      <w:r w:rsidRPr="009C4415">
        <w:rPr>
          <w:color w:val="000000"/>
        </w:rPr>
        <w:t>].</w:t>
      </w:r>
    </w:p>
    <w:p w:rsidR="0015216B" w:rsidRPr="009C4415" w:rsidRDefault="002B1718" w:rsidP="00F95DB1">
      <w:pPr>
        <w:ind w:firstLine="720"/>
        <w:jc w:val="both"/>
        <w:rPr>
          <w:rFonts w:eastAsia="PMingLiU"/>
          <w:color w:val="000000"/>
        </w:rPr>
      </w:pPr>
      <w:r w:rsidRPr="009C4415">
        <w:rPr>
          <w:color w:val="000000"/>
        </w:rPr>
        <w:t>In Table 2, it is known that there is a significant relationship between the quality of sleep and the menstrual cycle (p = 0.014). This means that the quality of sleep has an influence on the adolescent menstrual cycle. The results of logistic regression analysis in Table 3 indicates that adolescents who have poor sleep quality have an opportunity to experience irregular menstrual cycles 2.05 times compared to those with good sleep quality. This is in line w</w:t>
      </w:r>
      <w:r w:rsidR="00D728F2">
        <w:rPr>
          <w:color w:val="000000"/>
        </w:rPr>
        <w:t>ith the research conducted by [10</w:t>
      </w:r>
      <w:r w:rsidRPr="009C4415">
        <w:rPr>
          <w:color w:val="000000"/>
        </w:rPr>
        <w:t>] that there is a relationship between the quality of sleep and the menstrual cycl</w:t>
      </w:r>
      <w:r w:rsidR="00D728F2">
        <w:rPr>
          <w:color w:val="000000"/>
        </w:rPr>
        <w:t>e. According to Kloss et al. [20</w:t>
      </w:r>
      <w:r w:rsidRPr="009C4415">
        <w:rPr>
          <w:color w:val="000000"/>
        </w:rPr>
        <w:t>], there is a significant relationship in the research between the quality of sleep and the menstrual cycle because hormones will be processed during sleep. When the sleep quality is not good, then the work of hormones is not optimal and consequently disrupts menstruation.</w:t>
      </w:r>
    </w:p>
    <w:p w:rsidR="004C5F5F" w:rsidRPr="009C4415" w:rsidRDefault="002B1718" w:rsidP="0015216B">
      <w:pPr>
        <w:ind w:firstLine="720"/>
        <w:jc w:val="both"/>
        <w:rPr>
          <w:rFonts w:eastAsia="PMingLiU"/>
          <w:color w:val="000000"/>
        </w:rPr>
      </w:pPr>
      <w:r w:rsidRPr="009C4415">
        <w:rPr>
          <w:color w:val="000000"/>
        </w:rPr>
        <w:t>However, after the logistic regression testing, there was no correlation between the quality of sleep and the menstrual cycle (p = 0.124). This might be due to the quality of sleep in this research only as a confounding facto</w:t>
      </w:r>
      <w:r w:rsidR="00D728F2">
        <w:rPr>
          <w:color w:val="000000"/>
        </w:rPr>
        <w:t xml:space="preserve">r.  </w:t>
      </w:r>
      <w:r w:rsidR="00D728F2">
        <w:rPr>
          <w:color w:val="000000"/>
        </w:rPr>
        <w:lastRenderedPageBreak/>
        <w:t>According to Lund et al. [21</w:t>
      </w:r>
      <w:r w:rsidRPr="009C4415">
        <w:rPr>
          <w:color w:val="000000"/>
        </w:rPr>
        <w:t>], poor sleep quality will cause physical and psychological health problems. Emotional, psychological</w:t>
      </w:r>
      <w:r w:rsidR="00AE662C" w:rsidRPr="009C4415">
        <w:rPr>
          <w:color w:val="000000"/>
        </w:rPr>
        <w:t>, and</w:t>
      </w:r>
      <w:r w:rsidRPr="009C4415">
        <w:rPr>
          <w:color w:val="000000"/>
        </w:rPr>
        <w:t xml:space="preserve"> academic stress have a negative impact on sleep. This is i</w:t>
      </w:r>
      <w:r w:rsidR="00D728F2">
        <w:rPr>
          <w:color w:val="000000"/>
        </w:rPr>
        <w:t>n line with Kozier and Erb’s [22</w:t>
      </w:r>
      <w:r w:rsidRPr="009C4415">
        <w:rPr>
          <w:color w:val="000000"/>
        </w:rPr>
        <w:t>] that stress has a big impact on sleep.</w:t>
      </w:r>
    </w:p>
    <w:p w:rsidR="0015216B" w:rsidRPr="009C4415" w:rsidRDefault="002B1718" w:rsidP="0015216B">
      <w:pPr>
        <w:ind w:firstLine="720"/>
        <w:jc w:val="both"/>
        <w:rPr>
          <w:rFonts w:ascii="Adobe Garamond Pro" w:eastAsia="PMingLiU" w:hAnsi="Adobe Garamond Pro"/>
          <w:color w:val="000000"/>
        </w:rPr>
      </w:pPr>
      <w:r w:rsidRPr="009C4415">
        <w:rPr>
          <w:color w:val="000000"/>
        </w:rPr>
        <w:t xml:space="preserve">In this research, there were 49.3% of respondents who experienced </w:t>
      </w:r>
      <w:r w:rsidR="00AE662C" w:rsidRPr="009C4415">
        <w:rPr>
          <w:color w:val="000000"/>
        </w:rPr>
        <w:t>stress</w:t>
      </w:r>
      <w:r w:rsidRPr="009C4415">
        <w:rPr>
          <w:color w:val="000000"/>
        </w:rPr>
        <w:t xml:space="preserve"> and 50.7% were not stressful. In addition, there was a significant relationship between stress conditions and the menstrual cycle. Female adolescents who experience stress are likely to experience irregular menstrual </w:t>
      </w:r>
      <w:r w:rsidR="00AE662C" w:rsidRPr="009C4415">
        <w:rPr>
          <w:color w:val="000000"/>
        </w:rPr>
        <w:t>cycles 2.26</w:t>
      </w:r>
      <w:r w:rsidRPr="009C4415">
        <w:rPr>
          <w:color w:val="000000"/>
        </w:rPr>
        <w:t xml:space="preserve"> times. This is in line with the statement o</w:t>
      </w:r>
      <w:r w:rsidR="00D728F2">
        <w:rPr>
          <w:color w:val="000000"/>
        </w:rPr>
        <w:t>f Palm-fischbacer and Ehlert [23</w:t>
      </w:r>
      <w:r w:rsidRPr="009C4415">
        <w:rPr>
          <w:color w:val="000000"/>
        </w:rPr>
        <w:t xml:space="preserve">] that stress can cause irregularities in the menstrual cycle. </w:t>
      </w:r>
      <w:r w:rsidR="00D728F2">
        <w:rPr>
          <w:color w:val="000000"/>
        </w:rPr>
        <w:t>According to Toufexis et al. [24</w:t>
      </w:r>
      <w:r w:rsidRPr="009C4415">
        <w:rPr>
          <w:color w:val="000000"/>
        </w:rPr>
        <w:t>], stress neurochemical reactions stimulate hypothalamic-pituitary-adrenocortical (HPA) production, then increase the glucocorticoids excretion from the adrenal gland which inhibits the secretion of gonadotropin releasing hormone (GnRH) in the hypothalamus into the pituitary portal venous system, where it regulates the synthesis of the follicle stimulating hormone (FSH) and luteinizing hormone (LH) in the anterior pituitary and their secretion into the circulation. FSH and LH stimulate follicle development, ovulation, formation of the corpus luteum, and he secretion of coordinated estradiol, progesterone, and inhibin from the ovary. These hormones control the dynamic modulation of the secretion of the gonadotropin hormone through the pituitary which causes irregular menstrual cycles.</w:t>
      </w:r>
      <w:r w:rsidRPr="009C4415">
        <w:rPr>
          <w:rFonts w:ascii="Adobe Garamond Pro" w:hAnsi="Adobe Garamond Pro"/>
          <w:color w:val="000000"/>
        </w:rPr>
        <w:t xml:space="preserve"> </w:t>
      </w:r>
    </w:p>
    <w:p w:rsidR="0015216B" w:rsidRPr="009C4415" w:rsidRDefault="0015216B" w:rsidP="0015216B">
      <w:pPr>
        <w:spacing w:line="360" w:lineRule="auto"/>
        <w:contextualSpacing/>
        <w:jc w:val="both"/>
        <w:rPr>
          <w:rFonts w:ascii="Adobe Garamond Pro" w:eastAsia="Calibri" w:hAnsi="Adobe Garamond Pro"/>
          <w:color w:val="000000"/>
        </w:rPr>
      </w:pPr>
    </w:p>
    <w:p w:rsidR="00904D6D" w:rsidRPr="009C4415" w:rsidRDefault="002B1718" w:rsidP="00D74C5F">
      <w:pPr>
        <w:numPr>
          <w:ilvl w:val="0"/>
          <w:numId w:val="15"/>
        </w:numPr>
        <w:tabs>
          <w:tab w:val="left" w:pos="426"/>
        </w:tabs>
        <w:ind w:left="426" w:hanging="426"/>
        <w:rPr>
          <w:b/>
          <w:bCs/>
        </w:rPr>
      </w:pPr>
      <w:r w:rsidRPr="009C4415">
        <w:rPr>
          <w:b/>
          <w:bCs/>
        </w:rPr>
        <w:t>CONCLUSION</w:t>
      </w:r>
    </w:p>
    <w:p w:rsidR="0088233C" w:rsidRPr="009C4415" w:rsidRDefault="002B1718" w:rsidP="0015216B">
      <w:pPr>
        <w:ind w:firstLine="720"/>
        <w:jc w:val="both"/>
        <w:rPr>
          <w:b/>
          <w:bCs/>
        </w:rPr>
      </w:pPr>
      <w:r w:rsidRPr="009C4415">
        <w:rPr>
          <w:color w:val="000000"/>
        </w:rPr>
        <w:t>There is a relationship between BMI, sleep quality, stress conditions and the menstrual cycle.</w:t>
      </w:r>
      <w:r w:rsidRPr="009C4415">
        <w:rPr>
          <w:color w:val="000000"/>
          <w:shd w:val="clear" w:color="auto" w:fill="FFFFFF"/>
        </w:rPr>
        <w:t xml:space="preserve"> The results of the multivariate analysis show that stress conditions most influence the regularity of the menstrual cycle. </w:t>
      </w:r>
    </w:p>
    <w:p w:rsidR="0088233C" w:rsidRPr="009C4415" w:rsidRDefault="0088233C" w:rsidP="00904D6D">
      <w:pPr>
        <w:rPr>
          <w:b/>
          <w:bCs/>
        </w:rPr>
      </w:pPr>
    </w:p>
    <w:p w:rsidR="008036B6" w:rsidRPr="009C4415" w:rsidRDefault="002B1718" w:rsidP="008036B6">
      <w:pPr>
        <w:rPr>
          <w:rStyle w:val="apple-style-span"/>
          <w:b/>
          <w:color w:val="000000"/>
        </w:rPr>
      </w:pPr>
      <w:r w:rsidRPr="009C4415">
        <w:rPr>
          <w:b/>
        </w:rPr>
        <w:t>ACKNOWLEDGEMENTS</w:t>
      </w:r>
    </w:p>
    <w:p w:rsidR="00EE7C89" w:rsidRPr="009C4415" w:rsidRDefault="002B1718" w:rsidP="008036B6">
      <w:pPr>
        <w:numPr>
          <w:ilvl w:val="0"/>
          <w:numId w:val="18"/>
        </w:numPr>
        <w:ind w:left="360"/>
        <w:jc w:val="both"/>
        <w:rPr>
          <w:bCs/>
        </w:rPr>
      </w:pPr>
      <w:r w:rsidRPr="009C4415">
        <w:rPr>
          <w:shd w:val="clear" w:color="auto" w:fill="FFFFFF"/>
        </w:rPr>
        <w:t>Dono Indarto, Dr., M.Biotech.St, Ph.D, St.AIFM as the examiners of the thesis proposal who has been willing to provide input and suggestions.</w:t>
      </w:r>
    </w:p>
    <w:p w:rsidR="008036B6" w:rsidRPr="009C4415" w:rsidRDefault="002B1718" w:rsidP="009C4415">
      <w:pPr>
        <w:numPr>
          <w:ilvl w:val="0"/>
          <w:numId w:val="18"/>
        </w:numPr>
        <w:ind w:left="360"/>
        <w:jc w:val="both"/>
        <w:rPr>
          <w:bCs/>
        </w:rPr>
      </w:pPr>
      <w:r w:rsidRPr="009C4415">
        <w:rPr>
          <w:shd w:val="clear" w:color="auto" w:fill="FFFFFF"/>
        </w:rPr>
        <w:t>The Cent</w:t>
      </w:r>
      <w:r w:rsidR="009C4415">
        <w:rPr>
          <w:shd w:val="clear" w:color="auto" w:fill="FFFFFF"/>
        </w:rPr>
        <w:t>re</w:t>
      </w:r>
      <w:r w:rsidRPr="009C4415">
        <w:rPr>
          <w:shd w:val="clear" w:color="auto" w:fill="FFFFFF"/>
        </w:rPr>
        <w:t xml:space="preserve"> for Secondary and Special Education Control (BP2MK) of Central Java which has given permission for the conducting this research</w:t>
      </w:r>
    </w:p>
    <w:p w:rsidR="00EA127F" w:rsidRDefault="00EA127F" w:rsidP="00904D6D">
      <w:pPr>
        <w:rPr>
          <w:bCs/>
        </w:rPr>
      </w:pPr>
    </w:p>
    <w:p w:rsidR="002724C3" w:rsidRDefault="002724C3" w:rsidP="002724C3">
      <w:pPr>
        <w:rPr>
          <w:b/>
        </w:rPr>
      </w:pPr>
      <w:r>
        <w:rPr>
          <w:b/>
        </w:rPr>
        <w:t>REFERENCES</w:t>
      </w:r>
    </w:p>
    <w:p w:rsidR="00E4797F" w:rsidRDefault="00E4797F" w:rsidP="002724C3">
      <w:pPr>
        <w:rPr>
          <w:b/>
        </w:rPr>
      </w:pPr>
    </w:p>
    <w:p w:rsidR="00E4797F" w:rsidRPr="004500D7" w:rsidRDefault="00E4797F" w:rsidP="0045517A">
      <w:pPr>
        <w:ind w:left="709" w:hanging="709"/>
        <w:jc w:val="both"/>
        <w:rPr>
          <w:sz w:val="18"/>
          <w:szCs w:val="18"/>
          <w:lang w:val="en-US"/>
        </w:rPr>
      </w:pPr>
      <w:r w:rsidRPr="004500D7">
        <w:rPr>
          <w:sz w:val="18"/>
          <w:szCs w:val="18"/>
        </w:rPr>
        <w:t xml:space="preserve">[1] </w:t>
      </w:r>
      <w:r w:rsidR="004500D7" w:rsidRPr="004500D7">
        <w:rPr>
          <w:sz w:val="18"/>
          <w:szCs w:val="18"/>
        </w:rPr>
        <w:t xml:space="preserve">Batubara, J. ; “Adolescent Development (Perkembangan Remaja),” </w:t>
      </w:r>
      <w:r w:rsidR="004500D7" w:rsidRPr="004500D7">
        <w:rPr>
          <w:i/>
          <w:sz w:val="18"/>
          <w:szCs w:val="18"/>
        </w:rPr>
        <w:t xml:space="preserve">Sari Pediatri, </w:t>
      </w:r>
      <w:r w:rsidR="004500D7" w:rsidRPr="004500D7">
        <w:rPr>
          <w:sz w:val="18"/>
          <w:szCs w:val="18"/>
        </w:rPr>
        <w:t>vol. 12, no. 1, hlm. 21-29, Juni 2010</w:t>
      </w:r>
    </w:p>
    <w:p w:rsidR="004500D7" w:rsidRDefault="00E4797F" w:rsidP="0045517A">
      <w:pPr>
        <w:ind w:left="709" w:hanging="709"/>
        <w:jc w:val="both"/>
        <w:rPr>
          <w:sz w:val="18"/>
          <w:szCs w:val="18"/>
        </w:rPr>
      </w:pPr>
      <w:r w:rsidRPr="004500D7">
        <w:rPr>
          <w:sz w:val="18"/>
          <w:szCs w:val="18"/>
        </w:rPr>
        <w:t xml:space="preserve">[2] </w:t>
      </w:r>
      <w:r w:rsidR="00660209" w:rsidRPr="004500D7">
        <w:rPr>
          <w:sz w:val="18"/>
          <w:szCs w:val="18"/>
        </w:rPr>
        <w:t>Davis JM, Segars JH. “Menstru</w:t>
      </w:r>
      <w:r w:rsidR="004500D7">
        <w:rPr>
          <w:sz w:val="18"/>
          <w:szCs w:val="18"/>
        </w:rPr>
        <w:t>ation and menstrual disorders: A</w:t>
      </w:r>
      <w:r w:rsidR="00660209" w:rsidRPr="004500D7">
        <w:rPr>
          <w:sz w:val="18"/>
          <w:szCs w:val="18"/>
        </w:rPr>
        <w:t xml:space="preserve">novulation.” </w:t>
      </w:r>
      <w:r w:rsidR="00660209" w:rsidRPr="004500D7">
        <w:rPr>
          <w:i/>
          <w:sz w:val="18"/>
          <w:szCs w:val="18"/>
        </w:rPr>
        <w:t>Glob Libr Women’s Med</w:t>
      </w:r>
      <w:r w:rsidR="00660209" w:rsidRPr="004500D7">
        <w:rPr>
          <w:sz w:val="18"/>
          <w:szCs w:val="18"/>
        </w:rPr>
        <w:t xml:space="preserve">. </w:t>
      </w:r>
      <w:r w:rsidR="004500D7">
        <w:rPr>
          <w:sz w:val="18"/>
          <w:szCs w:val="18"/>
        </w:rPr>
        <w:t>2009</w:t>
      </w:r>
    </w:p>
    <w:p w:rsidR="00AF540F" w:rsidRDefault="00AF540F" w:rsidP="0045517A">
      <w:pPr>
        <w:ind w:left="709" w:hanging="709"/>
        <w:jc w:val="both"/>
        <w:rPr>
          <w:sz w:val="18"/>
          <w:szCs w:val="18"/>
        </w:rPr>
      </w:pPr>
      <w:r>
        <w:rPr>
          <w:sz w:val="18"/>
          <w:szCs w:val="18"/>
        </w:rPr>
        <w:t xml:space="preserve">[3] </w:t>
      </w:r>
      <w:r w:rsidR="00FF0D63" w:rsidRPr="00FF0D63">
        <w:rPr>
          <w:sz w:val="18"/>
          <w:szCs w:val="18"/>
        </w:rPr>
        <w:t>Deligeoroglou, E. ;</w:t>
      </w:r>
      <w:r w:rsidRPr="00FF0D63">
        <w:rPr>
          <w:sz w:val="18"/>
          <w:szCs w:val="18"/>
        </w:rPr>
        <w:t xml:space="preserve"> Creatsas, G.</w:t>
      </w:r>
      <w:r w:rsidR="00FF0D63" w:rsidRPr="00FF0D63">
        <w:rPr>
          <w:sz w:val="18"/>
          <w:szCs w:val="18"/>
        </w:rPr>
        <w:t xml:space="preserve"> ; “</w:t>
      </w:r>
      <w:r w:rsidRPr="00FF0D63">
        <w:rPr>
          <w:sz w:val="18"/>
          <w:szCs w:val="18"/>
        </w:rPr>
        <w:t>Menstrual Disorders.</w:t>
      </w:r>
      <w:r w:rsidR="00FF0D63" w:rsidRPr="00FF0D63">
        <w:rPr>
          <w:sz w:val="18"/>
          <w:szCs w:val="18"/>
        </w:rPr>
        <w:t>”</w:t>
      </w:r>
      <w:r w:rsidRPr="00FF0D63">
        <w:rPr>
          <w:sz w:val="18"/>
          <w:szCs w:val="18"/>
        </w:rPr>
        <w:t xml:space="preserve"> Endocrine Development, </w:t>
      </w:r>
      <w:r w:rsidR="00FF0D63" w:rsidRPr="00FF0D63">
        <w:rPr>
          <w:sz w:val="18"/>
          <w:szCs w:val="18"/>
        </w:rPr>
        <w:t xml:space="preserve">vol 22, pp. </w:t>
      </w:r>
      <w:r w:rsidRPr="00FF0D63">
        <w:rPr>
          <w:sz w:val="18"/>
          <w:szCs w:val="18"/>
        </w:rPr>
        <w:t>160–170. </w:t>
      </w:r>
      <w:r w:rsidR="00FF0D63" w:rsidRPr="00FF0D63">
        <w:rPr>
          <w:sz w:val="18"/>
          <w:szCs w:val="18"/>
        </w:rPr>
        <w:t>2012</w:t>
      </w:r>
    </w:p>
    <w:p w:rsidR="00660209" w:rsidRPr="004500D7" w:rsidRDefault="00660209" w:rsidP="0045517A">
      <w:pPr>
        <w:ind w:left="709" w:hanging="709"/>
        <w:jc w:val="both"/>
        <w:rPr>
          <w:sz w:val="18"/>
          <w:szCs w:val="18"/>
        </w:rPr>
      </w:pPr>
      <w:r w:rsidRPr="004500D7">
        <w:rPr>
          <w:sz w:val="18"/>
          <w:szCs w:val="18"/>
        </w:rPr>
        <w:t xml:space="preserve">[4] Gudmundsdottir SL, Flander WD, Augested LBA. “Longitudinal study of physical activity and menstrual cycle characteristics in healthy norwegian women – the nord-trøndelag health study.” Norsk Epidemiologi, </w:t>
      </w:r>
      <w:r w:rsidR="00FF0D63">
        <w:rPr>
          <w:sz w:val="18"/>
          <w:szCs w:val="18"/>
        </w:rPr>
        <w:t xml:space="preserve">vol </w:t>
      </w:r>
      <w:r w:rsidRPr="004500D7">
        <w:rPr>
          <w:sz w:val="18"/>
          <w:szCs w:val="18"/>
        </w:rPr>
        <w:t>20</w:t>
      </w:r>
      <w:r w:rsidR="00FF0D63">
        <w:rPr>
          <w:sz w:val="18"/>
          <w:szCs w:val="18"/>
        </w:rPr>
        <w:t xml:space="preserve"> (2), pp. </w:t>
      </w:r>
      <w:r w:rsidRPr="004500D7">
        <w:rPr>
          <w:sz w:val="18"/>
          <w:szCs w:val="18"/>
        </w:rPr>
        <w:t>163–71.</w:t>
      </w:r>
      <w:r w:rsidR="00FF0D63">
        <w:rPr>
          <w:sz w:val="18"/>
          <w:szCs w:val="18"/>
        </w:rPr>
        <w:t xml:space="preserve"> 2011</w:t>
      </w:r>
    </w:p>
    <w:p w:rsidR="00660209" w:rsidRPr="00FF0D63" w:rsidRDefault="00660209" w:rsidP="0045517A">
      <w:pPr>
        <w:ind w:left="709" w:hanging="709"/>
        <w:jc w:val="both"/>
        <w:rPr>
          <w:sz w:val="18"/>
          <w:szCs w:val="18"/>
        </w:rPr>
      </w:pPr>
      <w:r w:rsidRPr="00FF0D63">
        <w:rPr>
          <w:sz w:val="18"/>
          <w:szCs w:val="18"/>
        </w:rPr>
        <w:t>[5] Dieny. Permasalahan gizi pada remaja putri. Yogyakarta: Graha Ilmu</w:t>
      </w:r>
      <w:r w:rsidR="00FF0D63">
        <w:rPr>
          <w:sz w:val="18"/>
          <w:szCs w:val="18"/>
        </w:rPr>
        <w:t>. 2014</w:t>
      </w:r>
    </w:p>
    <w:p w:rsidR="00660209" w:rsidRPr="00FF0D63" w:rsidRDefault="00660209" w:rsidP="0045517A">
      <w:pPr>
        <w:ind w:left="270" w:hanging="270"/>
        <w:jc w:val="both"/>
        <w:rPr>
          <w:sz w:val="18"/>
          <w:szCs w:val="18"/>
        </w:rPr>
      </w:pPr>
      <w:r w:rsidRPr="00FF0D63">
        <w:rPr>
          <w:sz w:val="18"/>
          <w:szCs w:val="18"/>
        </w:rPr>
        <w:t xml:space="preserve">[6] Keputusan Menteri Kesehatan Republik Indonesi Nomor 1995/MENKES/SK/XII/2010 </w:t>
      </w:r>
      <w:r w:rsidR="00FF0D63">
        <w:rPr>
          <w:sz w:val="18"/>
          <w:szCs w:val="18"/>
        </w:rPr>
        <w:t>about “</w:t>
      </w:r>
      <w:r w:rsidRPr="00FF0D63">
        <w:rPr>
          <w:sz w:val="18"/>
          <w:szCs w:val="18"/>
        </w:rPr>
        <w:t>Standa</w:t>
      </w:r>
      <w:r w:rsidR="00FF0D63">
        <w:rPr>
          <w:sz w:val="18"/>
          <w:szCs w:val="18"/>
        </w:rPr>
        <w:t>r Antropometri Status Gizi Anak”</w:t>
      </w:r>
      <w:r w:rsidRPr="00FF0D63">
        <w:rPr>
          <w:sz w:val="18"/>
          <w:szCs w:val="18"/>
        </w:rPr>
        <w:t xml:space="preserve"> </w:t>
      </w:r>
      <w:r w:rsidR="00FF0D63">
        <w:rPr>
          <w:sz w:val="18"/>
          <w:szCs w:val="18"/>
        </w:rPr>
        <w:t xml:space="preserve">From </w:t>
      </w:r>
      <w:r w:rsidRPr="00FF0D63">
        <w:rPr>
          <w:sz w:val="18"/>
          <w:szCs w:val="18"/>
        </w:rPr>
        <w:t xml:space="preserve"> </w:t>
      </w:r>
      <w:hyperlink r:id="rId9" w:history="1">
        <w:r w:rsidRPr="00FF0D63">
          <w:rPr>
            <w:rStyle w:val="Hyperlink"/>
            <w:color w:val="auto"/>
            <w:sz w:val="18"/>
            <w:szCs w:val="18"/>
          </w:rPr>
          <w:t>http://gizi.depkes.go.id/wp-content/uploads/2011/11/buku-sk-antropometri-2010.pdf</w:t>
        </w:r>
      </w:hyperlink>
    </w:p>
    <w:p w:rsidR="00660209" w:rsidRPr="00FF0D63" w:rsidRDefault="00660209" w:rsidP="0045517A">
      <w:pPr>
        <w:jc w:val="both"/>
        <w:rPr>
          <w:sz w:val="18"/>
          <w:szCs w:val="18"/>
        </w:rPr>
      </w:pPr>
      <w:r>
        <w:rPr>
          <w:sz w:val="24"/>
          <w:szCs w:val="24"/>
        </w:rPr>
        <w:t>[</w:t>
      </w:r>
      <w:r w:rsidRPr="00FF0D63">
        <w:rPr>
          <w:sz w:val="18"/>
          <w:szCs w:val="18"/>
        </w:rPr>
        <w:t xml:space="preserve">7] Baker, </w:t>
      </w:r>
      <w:r w:rsidR="00FF0D63">
        <w:rPr>
          <w:sz w:val="18"/>
          <w:szCs w:val="18"/>
        </w:rPr>
        <w:t>F. C. ;</w:t>
      </w:r>
      <w:r w:rsidRPr="00FF0D63">
        <w:rPr>
          <w:sz w:val="18"/>
          <w:szCs w:val="18"/>
        </w:rPr>
        <w:t xml:space="preserve"> Lee, K. A. </w:t>
      </w:r>
      <w:r w:rsidR="00405454">
        <w:rPr>
          <w:sz w:val="18"/>
          <w:szCs w:val="18"/>
        </w:rPr>
        <w:t>“</w:t>
      </w:r>
      <w:r w:rsidRPr="00FF0D63">
        <w:rPr>
          <w:sz w:val="18"/>
          <w:szCs w:val="18"/>
        </w:rPr>
        <w:t>Me</w:t>
      </w:r>
      <w:r w:rsidR="00405454">
        <w:rPr>
          <w:sz w:val="18"/>
          <w:szCs w:val="18"/>
        </w:rPr>
        <w:t xml:space="preserve">nstrual Cycle Effects on Sleep.” </w:t>
      </w:r>
      <w:r w:rsidRPr="00FF0D63">
        <w:rPr>
          <w:sz w:val="18"/>
          <w:szCs w:val="18"/>
        </w:rPr>
        <w:t xml:space="preserve">Sleep Medicine Clinics, 13(3), </w:t>
      </w:r>
      <w:r w:rsidR="00405454">
        <w:rPr>
          <w:sz w:val="18"/>
          <w:szCs w:val="18"/>
        </w:rPr>
        <w:t xml:space="preserve">pp. </w:t>
      </w:r>
      <w:r w:rsidRPr="00FF0D63">
        <w:rPr>
          <w:sz w:val="18"/>
          <w:szCs w:val="18"/>
        </w:rPr>
        <w:t>283–294.</w:t>
      </w:r>
      <w:r w:rsidR="00405454">
        <w:rPr>
          <w:sz w:val="18"/>
          <w:szCs w:val="18"/>
        </w:rPr>
        <w:t xml:space="preserve"> 2018</w:t>
      </w:r>
    </w:p>
    <w:p w:rsidR="00405454" w:rsidRDefault="00660209" w:rsidP="0045517A">
      <w:pPr>
        <w:ind w:left="270" w:hanging="270"/>
        <w:jc w:val="both"/>
        <w:rPr>
          <w:sz w:val="18"/>
          <w:szCs w:val="18"/>
        </w:rPr>
      </w:pPr>
      <w:r w:rsidRPr="00405454">
        <w:rPr>
          <w:sz w:val="18"/>
          <w:szCs w:val="18"/>
        </w:rPr>
        <w:t>[8] Adelina, Novita. Status Gizi Bayi Usia 1,5-8 Bulan di Jakarta Selatan dan Faktor-faktor yang Berhubungan. Skripsi. Jakarta : Fakultas Kesehatan Masyarakat Universitas Indonesia</w:t>
      </w:r>
      <w:r w:rsidR="00405454">
        <w:rPr>
          <w:sz w:val="18"/>
          <w:szCs w:val="18"/>
        </w:rPr>
        <w:t xml:space="preserve">. </w:t>
      </w:r>
      <w:r w:rsidR="00405454" w:rsidRPr="00405454">
        <w:rPr>
          <w:sz w:val="18"/>
          <w:szCs w:val="18"/>
        </w:rPr>
        <w:t>2009.</w:t>
      </w:r>
    </w:p>
    <w:p w:rsidR="00660209" w:rsidRDefault="00660209" w:rsidP="0045517A">
      <w:pPr>
        <w:ind w:left="270" w:hanging="270"/>
        <w:jc w:val="both"/>
      </w:pPr>
      <w:r w:rsidRPr="00405454">
        <w:rPr>
          <w:sz w:val="18"/>
          <w:szCs w:val="18"/>
        </w:rPr>
        <w:t xml:space="preserve">[9] </w:t>
      </w:r>
      <w:r w:rsidR="00405454">
        <w:rPr>
          <w:sz w:val="18"/>
          <w:szCs w:val="18"/>
        </w:rPr>
        <w:t>Nam Ga Eun ; Kyungdo Han ; Gyungjo Lee ;</w:t>
      </w:r>
      <w:r w:rsidRPr="00405454">
        <w:rPr>
          <w:sz w:val="18"/>
          <w:szCs w:val="18"/>
        </w:rPr>
        <w:t xml:space="preserve"> </w:t>
      </w:r>
      <w:r w:rsidR="00405454">
        <w:rPr>
          <w:sz w:val="18"/>
          <w:szCs w:val="18"/>
        </w:rPr>
        <w:t>“</w:t>
      </w:r>
      <w:r w:rsidRPr="00405454">
        <w:rPr>
          <w:sz w:val="18"/>
          <w:szCs w:val="18"/>
        </w:rPr>
        <w:t>Association between sleep duration and menstrual cycle irregularity in Korean female adolscents.</w:t>
      </w:r>
      <w:r w:rsidR="00405454">
        <w:rPr>
          <w:sz w:val="18"/>
          <w:szCs w:val="18"/>
        </w:rPr>
        <w:t>”</w:t>
      </w:r>
      <w:r w:rsidRPr="00405454">
        <w:rPr>
          <w:sz w:val="18"/>
          <w:szCs w:val="18"/>
        </w:rPr>
        <w:t xml:space="preserve"> </w:t>
      </w:r>
      <w:r w:rsidRPr="00405454">
        <w:rPr>
          <w:i/>
          <w:sz w:val="18"/>
          <w:szCs w:val="18"/>
        </w:rPr>
        <w:t>Sleep Med</w:t>
      </w:r>
      <w:r w:rsidRPr="00405454">
        <w:rPr>
          <w:sz w:val="18"/>
          <w:szCs w:val="18"/>
        </w:rPr>
        <w:t xml:space="preserve"> 35 </w:t>
      </w:r>
      <w:r w:rsidR="00405454">
        <w:rPr>
          <w:sz w:val="18"/>
          <w:szCs w:val="18"/>
        </w:rPr>
        <w:t xml:space="preserve">pp. </w:t>
      </w:r>
      <w:r w:rsidRPr="00405454">
        <w:rPr>
          <w:sz w:val="18"/>
          <w:szCs w:val="18"/>
        </w:rPr>
        <w:t>62-66</w:t>
      </w:r>
      <w:r w:rsidR="00405454">
        <w:rPr>
          <w:sz w:val="18"/>
          <w:szCs w:val="18"/>
        </w:rPr>
        <w:t xml:space="preserve">. </w:t>
      </w:r>
      <w:r w:rsidR="00405454" w:rsidRPr="00405454">
        <w:rPr>
          <w:sz w:val="18"/>
          <w:szCs w:val="18"/>
        </w:rPr>
        <w:t>20</w:t>
      </w:r>
      <w:r w:rsidR="00405454">
        <w:rPr>
          <w:sz w:val="18"/>
          <w:szCs w:val="18"/>
        </w:rPr>
        <w:t>17</w:t>
      </w:r>
    </w:p>
    <w:p w:rsidR="00660209" w:rsidRDefault="00660209" w:rsidP="0045517A">
      <w:pPr>
        <w:ind w:left="270" w:hanging="270"/>
        <w:jc w:val="both"/>
      </w:pPr>
      <w:r w:rsidRPr="00405454">
        <w:rPr>
          <w:sz w:val="18"/>
          <w:szCs w:val="18"/>
        </w:rPr>
        <w:t xml:space="preserve">[10] </w:t>
      </w:r>
      <w:r w:rsidR="00405454">
        <w:rPr>
          <w:sz w:val="18"/>
          <w:szCs w:val="18"/>
        </w:rPr>
        <w:t>Romans, SE ; Kreindler D ;</w:t>
      </w:r>
      <w:r w:rsidRPr="00405454">
        <w:rPr>
          <w:sz w:val="18"/>
          <w:szCs w:val="18"/>
        </w:rPr>
        <w:t xml:space="preserve"> Einstein G, et al.</w:t>
      </w:r>
      <w:r w:rsidR="00405454">
        <w:rPr>
          <w:sz w:val="18"/>
          <w:szCs w:val="18"/>
        </w:rPr>
        <w:t>”</w:t>
      </w:r>
      <w:r w:rsidRPr="00405454">
        <w:rPr>
          <w:sz w:val="18"/>
          <w:szCs w:val="18"/>
        </w:rPr>
        <w:t xml:space="preserve"> Sleep quality and menstrual cycle,</w:t>
      </w:r>
      <w:r w:rsidR="00405454">
        <w:rPr>
          <w:sz w:val="18"/>
          <w:szCs w:val="18"/>
        </w:rPr>
        <w:t>”</w:t>
      </w:r>
      <w:r w:rsidRPr="00405454">
        <w:rPr>
          <w:sz w:val="18"/>
          <w:szCs w:val="18"/>
        </w:rPr>
        <w:t xml:space="preserve"> </w:t>
      </w:r>
      <w:r w:rsidRPr="00405454">
        <w:rPr>
          <w:i/>
          <w:sz w:val="18"/>
          <w:szCs w:val="18"/>
        </w:rPr>
        <w:t>Sleep Med</w:t>
      </w:r>
      <w:r w:rsidRPr="00405454">
        <w:rPr>
          <w:sz w:val="18"/>
          <w:szCs w:val="18"/>
        </w:rPr>
        <w:t xml:space="preserve"> </w:t>
      </w:r>
      <w:r w:rsidR="00405454">
        <w:rPr>
          <w:sz w:val="18"/>
          <w:szCs w:val="18"/>
        </w:rPr>
        <w:t xml:space="preserve">16(4), pp </w:t>
      </w:r>
      <w:r w:rsidRPr="00405454">
        <w:rPr>
          <w:sz w:val="18"/>
          <w:szCs w:val="18"/>
        </w:rPr>
        <w:t>489-95</w:t>
      </w:r>
      <w:r w:rsidR="00405454">
        <w:rPr>
          <w:sz w:val="18"/>
          <w:szCs w:val="18"/>
        </w:rPr>
        <w:t xml:space="preserve">, </w:t>
      </w:r>
      <w:r w:rsidR="00405454" w:rsidRPr="00405454">
        <w:rPr>
          <w:sz w:val="18"/>
          <w:szCs w:val="18"/>
        </w:rPr>
        <w:t>2015</w:t>
      </w:r>
    </w:p>
    <w:p w:rsidR="00660209" w:rsidRPr="00405454" w:rsidRDefault="00660209" w:rsidP="0045517A">
      <w:pPr>
        <w:ind w:left="360" w:hanging="360"/>
        <w:jc w:val="both"/>
        <w:rPr>
          <w:sz w:val="18"/>
          <w:szCs w:val="18"/>
        </w:rPr>
      </w:pPr>
      <w:r w:rsidRPr="00405454">
        <w:rPr>
          <w:sz w:val="18"/>
          <w:szCs w:val="18"/>
        </w:rPr>
        <w:t xml:space="preserve">[11] </w:t>
      </w:r>
      <w:r w:rsidR="00405454">
        <w:rPr>
          <w:sz w:val="18"/>
          <w:szCs w:val="18"/>
        </w:rPr>
        <w:t>Cohen S ; Doyle WJ ; Alper CM ; Janicki-Deverts D ;</w:t>
      </w:r>
      <w:r w:rsidRPr="00405454">
        <w:rPr>
          <w:sz w:val="18"/>
          <w:szCs w:val="18"/>
        </w:rPr>
        <w:t xml:space="preserve"> Turner RB</w:t>
      </w:r>
      <w:r w:rsidR="00405454">
        <w:rPr>
          <w:sz w:val="18"/>
          <w:szCs w:val="18"/>
        </w:rPr>
        <w:t>. “</w:t>
      </w:r>
      <w:r w:rsidRPr="00405454">
        <w:rPr>
          <w:sz w:val="18"/>
          <w:szCs w:val="18"/>
        </w:rPr>
        <w:t>Sleep Habits and Sus</w:t>
      </w:r>
      <w:r w:rsidR="00405454">
        <w:rPr>
          <w:sz w:val="18"/>
          <w:szCs w:val="18"/>
        </w:rPr>
        <w:t xml:space="preserve">ceptibility to the Common Cold. “ </w:t>
      </w:r>
      <w:r w:rsidRPr="00405454">
        <w:rPr>
          <w:i/>
          <w:sz w:val="18"/>
          <w:szCs w:val="18"/>
        </w:rPr>
        <w:t>Archives of Internal Medicine</w:t>
      </w:r>
      <w:r w:rsidRPr="00405454">
        <w:rPr>
          <w:sz w:val="18"/>
          <w:szCs w:val="18"/>
        </w:rPr>
        <w:t>, vol. 169, no. 1,</w:t>
      </w:r>
      <w:r w:rsidR="00405454">
        <w:rPr>
          <w:sz w:val="18"/>
          <w:szCs w:val="18"/>
        </w:rPr>
        <w:t xml:space="preserve">62–67, </w:t>
      </w:r>
      <w:r w:rsidR="00405454" w:rsidRPr="00405454">
        <w:rPr>
          <w:sz w:val="18"/>
          <w:szCs w:val="18"/>
        </w:rPr>
        <w:t>2009.</w:t>
      </w:r>
    </w:p>
    <w:p w:rsidR="002C3B0D" w:rsidRDefault="00660209" w:rsidP="0045517A">
      <w:pPr>
        <w:ind w:left="360" w:hanging="360"/>
        <w:jc w:val="both"/>
        <w:rPr>
          <w:sz w:val="24"/>
          <w:szCs w:val="24"/>
        </w:rPr>
      </w:pPr>
      <w:r w:rsidRPr="00405454">
        <w:rPr>
          <w:sz w:val="18"/>
          <w:szCs w:val="18"/>
        </w:rPr>
        <w:t xml:space="preserve">[12] </w:t>
      </w:r>
      <w:r w:rsidR="002C3B0D" w:rsidRPr="00405454">
        <w:rPr>
          <w:sz w:val="18"/>
          <w:szCs w:val="18"/>
        </w:rPr>
        <w:t>Shechter</w:t>
      </w:r>
      <w:r w:rsidR="00405454">
        <w:rPr>
          <w:sz w:val="18"/>
          <w:szCs w:val="18"/>
        </w:rPr>
        <w:t>,</w:t>
      </w:r>
      <w:r w:rsidR="002C3B0D" w:rsidRPr="00405454">
        <w:rPr>
          <w:sz w:val="18"/>
          <w:szCs w:val="18"/>
        </w:rPr>
        <w:t xml:space="preserve"> A</w:t>
      </w:r>
      <w:r w:rsidR="00405454">
        <w:rPr>
          <w:sz w:val="18"/>
          <w:szCs w:val="18"/>
        </w:rPr>
        <w:t xml:space="preserve">.; Varin, </w:t>
      </w:r>
      <w:r w:rsidR="002C3B0D" w:rsidRPr="00405454">
        <w:rPr>
          <w:sz w:val="18"/>
          <w:szCs w:val="18"/>
        </w:rPr>
        <w:t>F</w:t>
      </w:r>
      <w:r w:rsidR="00405454">
        <w:rPr>
          <w:sz w:val="18"/>
          <w:szCs w:val="18"/>
        </w:rPr>
        <w:t xml:space="preserve">.; Boivin, DB; </w:t>
      </w:r>
      <w:r w:rsidR="002C3B0D" w:rsidRPr="00405454">
        <w:rPr>
          <w:sz w:val="18"/>
          <w:szCs w:val="18"/>
        </w:rPr>
        <w:t xml:space="preserve"> </w:t>
      </w:r>
      <w:r w:rsidR="00405454">
        <w:rPr>
          <w:sz w:val="18"/>
          <w:szCs w:val="18"/>
        </w:rPr>
        <w:t>“</w:t>
      </w:r>
      <w:r w:rsidR="002C3B0D" w:rsidRPr="00405454">
        <w:rPr>
          <w:sz w:val="18"/>
          <w:szCs w:val="18"/>
        </w:rPr>
        <w:t>Circadian variation of sleep during the follicular and luteal</w:t>
      </w:r>
      <w:r w:rsidR="00405454">
        <w:rPr>
          <w:sz w:val="18"/>
          <w:szCs w:val="18"/>
        </w:rPr>
        <w:t xml:space="preserve"> phases of the menstrual cycle.” </w:t>
      </w:r>
      <w:r w:rsidR="002C3B0D" w:rsidRPr="00405454">
        <w:rPr>
          <w:sz w:val="18"/>
          <w:szCs w:val="18"/>
        </w:rPr>
        <w:t xml:space="preserve">SLEEP </w:t>
      </w:r>
      <w:r w:rsidR="00405454">
        <w:rPr>
          <w:sz w:val="18"/>
          <w:szCs w:val="18"/>
        </w:rPr>
        <w:t xml:space="preserve">33(5), pp. </w:t>
      </w:r>
      <w:r w:rsidR="002C3B0D" w:rsidRPr="00405454">
        <w:rPr>
          <w:sz w:val="18"/>
          <w:szCs w:val="18"/>
        </w:rPr>
        <w:t>647-656</w:t>
      </w:r>
      <w:r w:rsidR="00405454">
        <w:rPr>
          <w:sz w:val="18"/>
          <w:szCs w:val="18"/>
        </w:rPr>
        <w:t xml:space="preserve">, </w:t>
      </w:r>
      <w:r w:rsidR="00405454" w:rsidRPr="00405454">
        <w:rPr>
          <w:sz w:val="18"/>
          <w:szCs w:val="18"/>
        </w:rPr>
        <w:t>2010</w:t>
      </w:r>
    </w:p>
    <w:p w:rsidR="00660209" w:rsidRPr="00405454" w:rsidRDefault="00660209" w:rsidP="0045517A">
      <w:pPr>
        <w:ind w:left="360" w:hanging="360"/>
        <w:jc w:val="both"/>
        <w:rPr>
          <w:sz w:val="18"/>
          <w:szCs w:val="18"/>
        </w:rPr>
      </w:pPr>
      <w:r w:rsidRPr="00405454">
        <w:rPr>
          <w:sz w:val="18"/>
          <w:szCs w:val="18"/>
        </w:rPr>
        <w:t>[13] Rasmun. Stres, Koping, dan Adaptasi: Teori dan Pohon Masalah Keperawatan. Jakarta : CV. Sagung Seto.</w:t>
      </w:r>
      <w:r w:rsidR="00405454">
        <w:rPr>
          <w:sz w:val="18"/>
          <w:szCs w:val="18"/>
        </w:rPr>
        <w:t xml:space="preserve"> </w:t>
      </w:r>
      <w:r w:rsidR="00405454" w:rsidRPr="00405454">
        <w:rPr>
          <w:sz w:val="18"/>
          <w:szCs w:val="18"/>
        </w:rPr>
        <w:t>2004.</w:t>
      </w:r>
    </w:p>
    <w:p w:rsidR="00660209" w:rsidRDefault="00076F9F" w:rsidP="0045517A">
      <w:pPr>
        <w:ind w:left="360" w:hanging="360"/>
        <w:jc w:val="both"/>
        <w:rPr>
          <w:color w:val="231F20"/>
          <w:shd w:val="clear" w:color="auto" w:fill="FFFFFF"/>
        </w:rPr>
      </w:pPr>
      <w:r w:rsidRPr="00405454">
        <w:rPr>
          <w:sz w:val="18"/>
          <w:szCs w:val="18"/>
        </w:rPr>
        <w:t xml:space="preserve">[14] Anggraini, Lusia, Wiryatun Lestariana, Susetyowati. </w:t>
      </w:r>
      <w:r w:rsidR="00405454">
        <w:rPr>
          <w:sz w:val="18"/>
          <w:szCs w:val="18"/>
        </w:rPr>
        <w:t>“</w:t>
      </w:r>
      <w:r w:rsidRPr="00405454">
        <w:rPr>
          <w:sz w:val="18"/>
          <w:szCs w:val="18"/>
        </w:rPr>
        <w:t>Asupan gizi dan status gizi vegetarian pada komunitas vegetarian di Yogyakarta</w:t>
      </w:r>
      <w:r w:rsidR="00405454">
        <w:rPr>
          <w:sz w:val="18"/>
          <w:szCs w:val="18"/>
        </w:rPr>
        <w:t>,”</w:t>
      </w:r>
      <w:r w:rsidRPr="00405454">
        <w:rPr>
          <w:sz w:val="18"/>
          <w:szCs w:val="18"/>
        </w:rPr>
        <w:t xml:space="preserve"> </w:t>
      </w:r>
      <w:r w:rsidRPr="00405454">
        <w:rPr>
          <w:i/>
          <w:sz w:val="18"/>
          <w:szCs w:val="18"/>
        </w:rPr>
        <w:t>Jurnal Gizi Klinik Indonesia</w:t>
      </w:r>
      <w:r w:rsidRPr="00405454">
        <w:rPr>
          <w:sz w:val="18"/>
          <w:szCs w:val="18"/>
        </w:rPr>
        <w:t xml:space="preserve"> vol 11</w:t>
      </w:r>
      <w:r w:rsidR="00405454">
        <w:rPr>
          <w:sz w:val="18"/>
          <w:szCs w:val="18"/>
        </w:rPr>
        <w:t>, no.4,pp.</w:t>
      </w:r>
      <w:r w:rsidRPr="00405454">
        <w:rPr>
          <w:sz w:val="18"/>
          <w:szCs w:val="18"/>
        </w:rPr>
        <w:t>143 – 149</w:t>
      </w:r>
      <w:r w:rsidR="00405454">
        <w:rPr>
          <w:sz w:val="18"/>
          <w:szCs w:val="18"/>
        </w:rPr>
        <w:t>, April 2015</w:t>
      </w:r>
    </w:p>
    <w:p w:rsidR="00076F9F" w:rsidRDefault="0044722A" w:rsidP="0045517A">
      <w:pPr>
        <w:ind w:left="360" w:hanging="360"/>
        <w:jc w:val="both"/>
        <w:rPr>
          <w:color w:val="231F20"/>
          <w:shd w:val="clear" w:color="auto" w:fill="FFFFFF"/>
        </w:rPr>
      </w:pPr>
      <w:r w:rsidRPr="00405454">
        <w:rPr>
          <w:sz w:val="18"/>
          <w:szCs w:val="18"/>
        </w:rPr>
        <w:t>[15]</w:t>
      </w:r>
      <w:r w:rsidR="00386651" w:rsidRPr="00405454">
        <w:rPr>
          <w:sz w:val="18"/>
          <w:szCs w:val="18"/>
        </w:rPr>
        <w:t xml:space="preserve"> </w:t>
      </w:r>
      <w:r w:rsidR="0045517A">
        <w:rPr>
          <w:sz w:val="18"/>
          <w:szCs w:val="18"/>
        </w:rPr>
        <w:t>Chavarro JE ; Rich-Edwards JW ; Rosner BA ;</w:t>
      </w:r>
      <w:r w:rsidR="0045517A" w:rsidRPr="0045517A">
        <w:rPr>
          <w:sz w:val="18"/>
          <w:szCs w:val="18"/>
        </w:rPr>
        <w:t xml:space="preserve"> Willett WC. </w:t>
      </w:r>
      <w:r w:rsidR="0045517A">
        <w:rPr>
          <w:sz w:val="18"/>
          <w:szCs w:val="18"/>
        </w:rPr>
        <w:t>“</w:t>
      </w:r>
      <w:r w:rsidR="0045517A" w:rsidRPr="0045517A">
        <w:rPr>
          <w:sz w:val="18"/>
          <w:szCs w:val="18"/>
        </w:rPr>
        <w:t xml:space="preserve">Diet and lifestyle in the prevention of </w:t>
      </w:r>
      <w:r w:rsidR="0045517A">
        <w:rPr>
          <w:sz w:val="18"/>
          <w:szCs w:val="18"/>
        </w:rPr>
        <w:t xml:space="preserve">ovulatory disorder infertility.” </w:t>
      </w:r>
      <w:r w:rsidR="0045517A" w:rsidRPr="0045517A">
        <w:rPr>
          <w:i/>
          <w:sz w:val="18"/>
          <w:szCs w:val="18"/>
        </w:rPr>
        <w:t>Obstet Gynecol</w:t>
      </w:r>
      <w:r w:rsidR="0045517A" w:rsidRPr="0045517A">
        <w:rPr>
          <w:sz w:val="18"/>
          <w:szCs w:val="18"/>
        </w:rPr>
        <w:t>;</w:t>
      </w:r>
      <w:r w:rsidR="0045517A">
        <w:rPr>
          <w:sz w:val="18"/>
          <w:szCs w:val="18"/>
        </w:rPr>
        <w:t xml:space="preserve"> </w:t>
      </w:r>
      <w:r w:rsidR="0045517A" w:rsidRPr="0045517A">
        <w:rPr>
          <w:sz w:val="18"/>
          <w:szCs w:val="18"/>
        </w:rPr>
        <w:t>110(5):1050-8.</w:t>
      </w:r>
      <w:r w:rsidR="0045517A">
        <w:rPr>
          <w:sz w:val="18"/>
          <w:szCs w:val="18"/>
        </w:rPr>
        <w:t xml:space="preserve"> </w:t>
      </w:r>
      <w:r w:rsidR="0045517A" w:rsidRPr="0045517A">
        <w:rPr>
          <w:sz w:val="18"/>
          <w:szCs w:val="18"/>
        </w:rPr>
        <w:t>2007</w:t>
      </w:r>
    </w:p>
    <w:p w:rsidR="0044722A" w:rsidRDefault="0044722A" w:rsidP="0045517A">
      <w:pPr>
        <w:ind w:left="360" w:hanging="360"/>
        <w:jc w:val="both"/>
        <w:rPr>
          <w:sz w:val="24"/>
          <w:szCs w:val="24"/>
        </w:rPr>
      </w:pPr>
      <w:r w:rsidRPr="0045517A">
        <w:rPr>
          <w:sz w:val="18"/>
          <w:szCs w:val="18"/>
        </w:rPr>
        <w:t>[16] Wei S, Schmidt MD, Dwyer T, Norman RJ, Venn AJ. “Obesity and Menstrual Irregularity:  Associations With SHBG, Testosterone,  and Insulin.” Obesity. 17:1070-1076</w:t>
      </w:r>
      <w:r w:rsidR="0045517A" w:rsidRPr="0045517A">
        <w:rPr>
          <w:sz w:val="18"/>
          <w:szCs w:val="18"/>
        </w:rPr>
        <w:t>. 2009</w:t>
      </w:r>
    </w:p>
    <w:p w:rsidR="0044722A" w:rsidRDefault="0044722A" w:rsidP="0045517A">
      <w:pPr>
        <w:ind w:left="360" w:hanging="360"/>
        <w:jc w:val="both"/>
        <w:rPr>
          <w:color w:val="231F20"/>
          <w:shd w:val="clear" w:color="auto" w:fill="FFFFFF"/>
        </w:rPr>
      </w:pPr>
      <w:r w:rsidRPr="0045517A">
        <w:rPr>
          <w:sz w:val="18"/>
          <w:szCs w:val="18"/>
        </w:rPr>
        <w:t>[17]</w:t>
      </w:r>
      <w:r w:rsidR="00386651" w:rsidRPr="0045517A">
        <w:rPr>
          <w:sz w:val="18"/>
          <w:szCs w:val="18"/>
        </w:rPr>
        <w:t xml:space="preserve"> Wiknjosastro H, Saifuddin AB, Rachimhadhi T, editors. Ilmu Kandungan. Ed 2, Cet ke 4, Jakarta: Yayasan Bina Pustaka Sarwono Prawirohardjo; 2005.p.103-127, 204-229</w:t>
      </w:r>
    </w:p>
    <w:p w:rsidR="0045517A" w:rsidRDefault="0044722A" w:rsidP="0045517A">
      <w:pPr>
        <w:ind w:left="360" w:hanging="360"/>
        <w:jc w:val="both"/>
        <w:rPr>
          <w:sz w:val="18"/>
          <w:szCs w:val="18"/>
        </w:rPr>
      </w:pPr>
      <w:r w:rsidRPr="0045517A">
        <w:rPr>
          <w:sz w:val="18"/>
          <w:szCs w:val="18"/>
        </w:rPr>
        <w:t>[18]</w:t>
      </w:r>
      <w:r w:rsidR="004E3F3E" w:rsidRPr="0045517A">
        <w:rPr>
          <w:sz w:val="18"/>
          <w:szCs w:val="18"/>
        </w:rPr>
        <w:t xml:space="preserve"> </w:t>
      </w:r>
      <w:r w:rsidR="002C3B0D" w:rsidRPr="0045517A">
        <w:rPr>
          <w:sz w:val="18"/>
          <w:szCs w:val="18"/>
        </w:rPr>
        <w:t>Si</w:t>
      </w:r>
      <w:r w:rsidR="0045517A">
        <w:rPr>
          <w:sz w:val="18"/>
          <w:szCs w:val="18"/>
        </w:rPr>
        <w:t>toayu L ; Pertiwi DA, ; Mulyani EY</w:t>
      </w:r>
      <w:r w:rsidR="002C3B0D" w:rsidRPr="0045517A">
        <w:rPr>
          <w:sz w:val="18"/>
          <w:szCs w:val="18"/>
        </w:rPr>
        <w:t xml:space="preserve">. </w:t>
      </w:r>
      <w:r w:rsidR="0045517A">
        <w:rPr>
          <w:sz w:val="18"/>
          <w:szCs w:val="18"/>
        </w:rPr>
        <w:t>“</w:t>
      </w:r>
      <w:r w:rsidR="002C3B0D" w:rsidRPr="0045517A">
        <w:rPr>
          <w:sz w:val="18"/>
          <w:szCs w:val="18"/>
        </w:rPr>
        <w:t>Kecukupan Zat Gizi Makro, Status Gizi, Stress, dan Siklus Menstruasi pada Remaja.</w:t>
      </w:r>
      <w:r w:rsidR="0045517A">
        <w:rPr>
          <w:sz w:val="18"/>
          <w:szCs w:val="18"/>
        </w:rPr>
        <w:t xml:space="preserve">” </w:t>
      </w:r>
      <w:r w:rsidR="002C3B0D" w:rsidRPr="0045517A">
        <w:rPr>
          <w:sz w:val="18"/>
          <w:szCs w:val="18"/>
        </w:rPr>
        <w:t xml:space="preserve"> </w:t>
      </w:r>
      <w:r w:rsidR="002C3B0D" w:rsidRPr="0045517A">
        <w:rPr>
          <w:i/>
          <w:sz w:val="18"/>
          <w:szCs w:val="18"/>
        </w:rPr>
        <w:t>Jurnal Gizi Klinik Indonesia</w:t>
      </w:r>
      <w:r w:rsidR="002C3B0D" w:rsidRPr="0045517A">
        <w:rPr>
          <w:sz w:val="18"/>
          <w:szCs w:val="18"/>
        </w:rPr>
        <w:t xml:space="preserve">, </w:t>
      </w:r>
      <w:r w:rsidR="0045517A">
        <w:rPr>
          <w:sz w:val="18"/>
          <w:szCs w:val="18"/>
        </w:rPr>
        <w:t>vol. 13, no. 3, pp.</w:t>
      </w:r>
      <w:r w:rsidR="002C3B0D" w:rsidRPr="0045517A">
        <w:rPr>
          <w:sz w:val="18"/>
          <w:szCs w:val="18"/>
        </w:rPr>
        <w:t xml:space="preserve"> 121-128</w:t>
      </w:r>
      <w:r w:rsidR="0045517A">
        <w:rPr>
          <w:sz w:val="18"/>
          <w:szCs w:val="18"/>
        </w:rPr>
        <w:t xml:space="preserve">, </w:t>
      </w:r>
      <w:r w:rsidR="0045517A" w:rsidRPr="0045517A">
        <w:rPr>
          <w:sz w:val="18"/>
          <w:szCs w:val="18"/>
        </w:rPr>
        <w:t>2017</w:t>
      </w:r>
    </w:p>
    <w:p w:rsidR="00073E78" w:rsidRPr="0045517A" w:rsidRDefault="0044722A" w:rsidP="0045517A">
      <w:pPr>
        <w:ind w:left="360" w:hanging="360"/>
        <w:jc w:val="both"/>
        <w:rPr>
          <w:sz w:val="18"/>
          <w:szCs w:val="18"/>
        </w:rPr>
      </w:pPr>
      <w:r w:rsidRPr="0045517A">
        <w:rPr>
          <w:sz w:val="18"/>
          <w:szCs w:val="18"/>
        </w:rPr>
        <w:t xml:space="preserve">[19] </w:t>
      </w:r>
      <w:r w:rsidR="00073E78" w:rsidRPr="0045517A">
        <w:rPr>
          <w:sz w:val="18"/>
          <w:szCs w:val="18"/>
        </w:rPr>
        <w:t>Fujiwara T. The discrepancy between BMI and self-28. recognition of adequate body weight may cause insufﬁ cient food intake and habits in young w</w:t>
      </w:r>
      <w:r w:rsidR="0045517A">
        <w:rPr>
          <w:sz w:val="18"/>
          <w:szCs w:val="18"/>
        </w:rPr>
        <w:t xml:space="preserve">omen in Japan. Bull Ashiya Coll.2, pp. </w:t>
      </w:r>
      <w:r w:rsidR="00073E78" w:rsidRPr="0045517A">
        <w:rPr>
          <w:sz w:val="18"/>
          <w:szCs w:val="18"/>
        </w:rPr>
        <w:t>75-80</w:t>
      </w:r>
      <w:r w:rsidR="0045517A" w:rsidRPr="00DE1862">
        <w:rPr>
          <w:sz w:val="18"/>
          <w:szCs w:val="18"/>
        </w:rPr>
        <w:t xml:space="preserve">, </w:t>
      </w:r>
      <w:r w:rsidR="0045517A" w:rsidRPr="0045517A">
        <w:rPr>
          <w:sz w:val="18"/>
          <w:szCs w:val="18"/>
        </w:rPr>
        <w:t>2005</w:t>
      </w:r>
    </w:p>
    <w:p w:rsidR="00073E78" w:rsidRPr="00DE1862" w:rsidRDefault="0044722A" w:rsidP="00DE1862">
      <w:pPr>
        <w:ind w:left="360" w:hanging="360"/>
        <w:jc w:val="both"/>
        <w:rPr>
          <w:sz w:val="18"/>
          <w:szCs w:val="18"/>
        </w:rPr>
      </w:pPr>
      <w:r w:rsidRPr="00DE1862">
        <w:rPr>
          <w:sz w:val="18"/>
          <w:szCs w:val="18"/>
        </w:rPr>
        <w:lastRenderedPageBreak/>
        <w:t xml:space="preserve">[20] </w:t>
      </w:r>
      <w:r w:rsidR="00DE1862" w:rsidRPr="00DE1862">
        <w:rPr>
          <w:sz w:val="18"/>
          <w:szCs w:val="18"/>
          <w:lang w:val="en-US"/>
        </w:rPr>
        <w:t>Kloss J.D. ;</w:t>
      </w:r>
      <w:r w:rsidR="00DE1862" w:rsidRPr="00073E78">
        <w:rPr>
          <w:sz w:val="18"/>
          <w:szCs w:val="18"/>
          <w:lang w:val="en-US"/>
        </w:rPr>
        <w:t> </w:t>
      </w:r>
      <w:r w:rsidR="00DE1862" w:rsidRPr="00DE1862">
        <w:rPr>
          <w:sz w:val="18"/>
          <w:szCs w:val="18"/>
          <w:lang w:val="en-US"/>
        </w:rPr>
        <w:t>Perlis M.L. ;</w:t>
      </w:r>
      <w:r w:rsidR="00DE1862" w:rsidRPr="00073E78">
        <w:rPr>
          <w:sz w:val="18"/>
          <w:szCs w:val="18"/>
          <w:lang w:val="en-US"/>
        </w:rPr>
        <w:t> </w:t>
      </w:r>
      <w:r w:rsidR="00DE1862" w:rsidRPr="00DE1862">
        <w:rPr>
          <w:sz w:val="18"/>
          <w:szCs w:val="18"/>
          <w:lang w:val="en-US"/>
        </w:rPr>
        <w:t>Zamzow J.A. ; Culnan E.J. ;</w:t>
      </w:r>
      <w:r w:rsidR="00DE1862" w:rsidRPr="00073E78">
        <w:rPr>
          <w:sz w:val="18"/>
          <w:szCs w:val="18"/>
          <w:lang w:val="en-US"/>
        </w:rPr>
        <w:t> </w:t>
      </w:r>
      <w:r w:rsidR="00DE1862" w:rsidRPr="00DE1862">
        <w:rPr>
          <w:sz w:val="18"/>
          <w:szCs w:val="18"/>
          <w:lang w:val="en-US"/>
        </w:rPr>
        <w:t>Gracia C.R.</w:t>
      </w:r>
      <w:r w:rsidR="00073E78" w:rsidRPr="00DE1862">
        <w:rPr>
          <w:sz w:val="18"/>
          <w:szCs w:val="18"/>
        </w:rPr>
        <w:t xml:space="preserve">. Sleep, sleep disturbance, and fertility in women. </w:t>
      </w:r>
      <w:r w:rsidR="00DE1862" w:rsidRPr="00DE1862">
        <w:rPr>
          <w:sz w:val="18"/>
          <w:szCs w:val="18"/>
        </w:rPr>
        <w:t>“</w:t>
      </w:r>
      <w:hyperlink r:id="rId10" w:tooltip="Sleep medicine reviews." w:history="1">
        <w:r w:rsidR="00073E78" w:rsidRPr="00DE1862">
          <w:rPr>
            <w:sz w:val="18"/>
            <w:szCs w:val="18"/>
          </w:rPr>
          <w:t>Sleep Med Rev</w:t>
        </w:r>
        <w:r w:rsidR="00DE1862" w:rsidRPr="00DE1862">
          <w:rPr>
            <w:sz w:val="18"/>
            <w:szCs w:val="18"/>
          </w:rPr>
          <w:t>iews”</w:t>
        </w:r>
        <w:r w:rsidR="00073E78" w:rsidRPr="00DE1862">
          <w:rPr>
            <w:sz w:val="18"/>
            <w:szCs w:val="18"/>
          </w:rPr>
          <w:t>.</w:t>
        </w:r>
      </w:hyperlink>
      <w:r w:rsidR="00073E78" w:rsidRPr="00DE1862">
        <w:rPr>
          <w:sz w:val="18"/>
          <w:szCs w:val="18"/>
        </w:rPr>
        <w:t> </w:t>
      </w:r>
      <w:r w:rsidR="00DE1862" w:rsidRPr="00DE1862">
        <w:rPr>
          <w:sz w:val="18"/>
          <w:szCs w:val="18"/>
        </w:rPr>
        <w:t xml:space="preserve">22. Pp. </w:t>
      </w:r>
      <w:r w:rsidR="00073E78" w:rsidRPr="00DE1862">
        <w:rPr>
          <w:sz w:val="18"/>
          <w:szCs w:val="18"/>
        </w:rPr>
        <w:t>78-87</w:t>
      </w:r>
      <w:r w:rsidR="00DE1862" w:rsidRPr="00DE1862">
        <w:rPr>
          <w:sz w:val="18"/>
          <w:szCs w:val="18"/>
        </w:rPr>
        <w:t>, Aug 2015</w:t>
      </w:r>
    </w:p>
    <w:p w:rsidR="0044722A" w:rsidRPr="00DE1862" w:rsidRDefault="0044722A" w:rsidP="00DE1862">
      <w:pPr>
        <w:ind w:left="360" w:hanging="360"/>
        <w:jc w:val="both"/>
        <w:rPr>
          <w:sz w:val="18"/>
          <w:szCs w:val="18"/>
        </w:rPr>
      </w:pPr>
      <w:r w:rsidRPr="00DE1862">
        <w:rPr>
          <w:sz w:val="18"/>
          <w:szCs w:val="18"/>
        </w:rPr>
        <w:t>[21]</w:t>
      </w:r>
      <w:r w:rsidR="00073E78" w:rsidRPr="00DE1862">
        <w:rPr>
          <w:sz w:val="18"/>
          <w:szCs w:val="18"/>
        </w:rPr>
        <w:t xml:space="preserve"> </w:t>
      </w:r>
      <w:hyperlink r:id="rId11" w:history="1">
        <w:r w:rsidR="00073E78" w:rsidRPr="00DE1862">
          <w:rPr>
            <w:sz w:val="18"/>
            <w:szCs w:val="18"/>
          </w:rPr>
          <w:t>Lund HG</w:t>
        </w:r>
      </w:hyperlink>
      <w:r w:rsidR="00DE1862">
        <w:rPr>
          <w:sz w:val="18"/>
          <w:szCs w:val="18"/>
        </w:rPr>
        <w:t xml:space="preserve"> ;</w:t>
      </w:r>
      <w:r w:rsidR="00073E78" w:rsidRPr="00DE1862">
        <w:rPr>
          <w:sz w:val="18"/>
          <w:szCs w:val="18"/>
        </w:rPr>
        <w:t> </w:t>
      </w:r>
      <w:hyperlink r:id="rId12" w:history="1">
        <w:r w:rsidR="00073E78" w:rsidRPr="00DE1862">
          <w:rPr>
            <w:sz w:val="18"/>
            <w:szCs w:val="18"/>
          </w:rPr>
          <w:t>Reider BD</w:t>
        </w:r>
      </w:hyperlink>
      <w:r w:rsidR="00DE1862">
        <w:rPr>
          <w:sz w:val="18"/>
          <w:szCs w:val="18"/>
        </w:rPr>
        <w:t xml:space="preserve"> ;</w:t>
      </w:r>
      <w:r w:rsidR="00073E78" w:rsidRPr="00DE1862">
        <w:rPr>
          <w:sz w:val="18"/>
          <w:szCs w:val="18"/>
        </w:rPr>
        <w:t> </w:t>
      </w:r>
      <w:hyperlink r:id="rId13" w:history="1">
        <w:r w:rsidR="00073E78" w:rsidRPr="00DE1862">
          <w:rPr>
            <w:sz w:val="18"/>
            <w:szCs w:val="18"/>
          </w:rPr>
          <w:t>Whiting AB</w:t>
        </w:r>
      </w:hyperlink>
      <w:r w:rsidR="00DE1862">
        <w:rPr>
          <w:sz w:val="18"/>
          <w:szCs w:val="18"/>
        </w:rPr>
        <w:t xml:space="preserve"> ; </w:t>
      </w:r>
      <w:hyperlink r:id="rId14" w:history="1">
        <w:r w:rsidR="00073E78" w:rsidRPr="00DE1862">
          <w:rPr>
            <w:sz w:val="18"/>
            <w:szCs w:val="18"/>
          </w:rPr>
          <w:t>Prichard JR</w:t>
        </w:r>
      </w:hyperlink>
      <w:r w:rsidR="00DE1862">
        <w:rPr>
          <w:sz w:val="18"/>
          <w:szCs w:val="18"/>
        </w:rPr>
        <w:t>, “</w:t>
      </w:r>
      <w:r w:rsidR="00073E78" w:rsidRPr="00DE1862">
        <w:rPr>
          <w:sz w:val="18"/>
          <w:szCs w:val="18"/>
        </w:rPr>
        <w:t>Sleep patterns and predictors of disturbed sleep in a large population of college students</w:t>
      </w:r>
      <w:r w:rsidR="00DE1862">
        <w:rPr>
          <w:sz w:val="18"/>
          <w:szCs w:val="18"/>
        </w:rPr>
        <w:t xml:space="preserve">,” </w:t>
      </w:r>
      <w:hyperlink r:id="rId15" w:tooltip="The Journal of adolescent health : official publication of the Society for Adolescent Medicine." w:history="1">
        <w:r w:rsidR="00073E78" w:rsidRPr="00DE1862">
          <w:rPr>
            <w:i/>
            <w:sz w:val="18"/>
            <w:szCs w:val="18"/>
          </w:rPr>
          <w:t>J Adolesc Health</w:t>
        </w:r>
        <w:r w:rsidR="00073E78" w:rsidRPr="00DE1862">
          <w:rPr>
            <w:sz w:val="18"/>
            <w:szCs w:val="18"/>
          </w:rPr>
          <w:t>.</w:t>
        </w:r>
      </w:hyperlink>
      <w:r w:rsidR="00DE1862">
        <w:rPr>
          <w:sz w:val="18"/>
          <w:szCs w:val="18"/>
        </w:rPr>
        <w:t xml:space="preserve">;46(2), pp. </w:t>
      </w:r>
      <w:r w:rsidR="00073E78" w:rsidRPr="00DE1862">
        <w:rPr>
          <w:sz w:val="18"/>
          <w:szCs w:val="18"/>
        </w:rPr>
        <w:t>124-32</w:t>
      </w:r>
      <w:r w:rsidR="00DE1862">
        <w:rPr>
          <w:sz w:val="18"/>
          <w:szCs w:val="18"/>
        </w:rPr>
        <w:t>, Feb 2010</w:t>
      </w:r>
    </w:p>
    <w:p w:rsidR="0044722A" w:rsidRDefault="0044722A" w:rsidP="00DE1862">
      <w:pPr>
        <w:ind w:left="360" w:hanging="360"/>
        <w:jc w:val="both"/>
        <w:rPr>
          <w:sz w:val="24"/>
          <w:szCs w:val="24"/>
          <w:lang w:val="id-ID"/>
        </w:rPr>
      </w:pPr>
      <w:r w:rsidRPr="00DE1862">
        <w:rPr>
          <w:sz w:val="18"/>
          <w:szCs w:val="18"/>
        </w:rPr>
        <w:t xml:space="preserve">[22] </w:t>
      </w:r>
      <w:r w:rsidR="00DE1862">
        <w:rPr>
          <w:sz w:val="18"/>
          <w:szCs w:val="18"/>
        </w:rPr>
        <w:t xml:space="preserve">Kozier. Erb ; Berman ; Snyder; </w:t>
      </w:r>
      <w:r w:rsidRPr="00DE1862">
        <w:rPr>
          <w:sz w:val="18"/>
          <w:szCs w:val="18"/>
        </w:rPr>
        <w:t>Buku Ajar Fondamental Keperawatan : Konsep, Proses &amp; Praktik, Vol : 1, Ed : 7, EGC : Jakarta</w:t>
      </w:r>
      <w:r w:rsidR="00784126">
        <w:rPr>
          <w:sz w:val="18"/>
          <w:szCs w:val="18"/>
        </w:rPr>
        <w:t xml:space="preserve">, </w:t>
      </w:r>
      <w:r w:rsidR="00784126" w:rsidRPr="00DE1862">
        <w:rPr>
          <w:sz w:val="18"/>
          <w:szCs w:val="18"/>
        </w:rPr>
        <w:t>201</w:t>
      </w:r>
      <w:r w:rsidR="00784126">
        <w:rPr>
          <w:sz w:val="18"/>
          <w:szCs w:val="18"/>
        </w:rPr>
        <w:t>0</w:t>
      </w:r>
    </w:p>
    <w:p w:rsidR="0044722A" w:rsidRDefault="0044722A" w:rsidP="0044722A">
      <w:pPr>
        <w:ind w:left="709" w:hanging="709"/>
        <w:jc w:val="both"/>
        <w:rPr>
          <w:sz w:val="24"/>
          <w:szCs w:val="24"/>
          <w:lang w:val="id-ID"/>
        </w:rPr>
      </w:pPr>
      <w:r>
        <w:rPr>
          <w:color w:val="231F20"/>
          <w:shd w:val="clear" w:color="auto" w:fill="FFFFFF"/>
        </w:rPr>
        <w:t>[</w:t>
      </w:r>
      <w:r w:rsidRPr="00784126">
        <w:rPr>
          <w:sz w:val="18"/>
          <w:szCs w:val="18"/>
        </w:rPr>
        <w:t xml:space="preserve">23] </w:t>
      </w:r>
      <w:r w:rsidR="00784126">
        <w:rPr>
          <w:sz w:val="18"/>
          <w:szCs w:val="18"/>
        </w:rPr>
        <w:t>Palm-Fischbacher S ; Ehlert U, “</w:t>
      </w:r>
      <w:r w:rsidRPr="00784126">
        <w:rPr>
          <w:sz w:val="18"/>
          <w:szCs w:val="18"/>
        </w:rPr>
        <w:t>Dispositional Resilience as a Moderator of the Relationship Between Chronic Stress and Irregular Menstrual Cy</w:t>
      </w:r>
      <w:r w:rsidR="00784126">
        <w:rPr>
          <w:sz w:val="18"/>
          <w:szCs w:val="18"/>
        </w:rPr>
        <w:t xml:space="preserve">cle,” </w:t>
      </w:r>
      <w:r w:rsidRPr="00784126">
        <w:rPr>
          <w:i/>
          <w:sz w:val="18"/>
          <w:szCs w:val="18"/>
        </w:rPr>
        <w:t>J Psychosom Obstet Gynaecol</w:t>
      </w:r>
      <w:r w:rsidR="00784126">
        <w:rPr>
          <w:sz w:val="18"/>
          <w:szCs w:val="18"/>
        </w:rPr>
        <w:t>,</w:t>
      </w:r>
      <w:r w:rsidRPr="00784126">
        <w:rPr>
          <w:sz w:val="18"/>
          <w:szCs w:val="18"/>
        </w:rPr>
        <w:t xml:space="preserve"> Vol 35, no 2, </w:t>
      </w:r>
      <w:r w:rsidR="00784126">
        <w:rPr>
          <w:sz w:val="18"/>
          <w:szCs w:val="18"/>
        </w:rPr>
        <w:t>pp</w:t>
      </w:r>
      <w:r w:rsidRPr="00784126">
        <w:rPr>
          <w:sz w:val="18"/>
          <w:szCs w:val="18"/>
        </w:rPr>
        <w:t>. 42-50</w:t>
      </w:r>
      <w:r w:rsidR="00784126">
        <w:rPr>
          <w:sz w:val="18"/>
          <w:szCs w:val="18"/>
        </w:rPr>
        <w:t>, 2014</w:t>
      </w:r>
    </w:p>
    <w:p w:rsidR="009215FB" w:rsidRPr="00784126" w:rsidRDefault="0044722A" w:rsidP="00784126">
      <w:pPr>
        <w:ind w:left="360" w:hanging="360"/>
        <w:jc w:val="both"/>
        <w:rPr>
          <w:color w:val="231F20"/>
          <w:shd w:val="clear" w:color="auto" w:fill="FFFFFF"/>
        </w:rPr>
      </w:pPr>
      <w:r w:rsidRPr="00784126">
        <w:rPr>
          <w:sz w:val="18"/>
          <w:szCs w:val="18"/>
        </w:rPr>
        <w:t xml:space="preserve">[24] </w:t>
      </w:r>
      <w:r w:rsidR="00784126" w:rsidRPr="00784126">
        <w:rPr>
          <w:sz w:val="18"/>
          <w:szCs w:val="18"/>
        </w:rPr>
        <w:t>Toufexis D; Rivarola MA; Lara H; Viau V; “</w:t>
      </w:r>
      <w:r w:rsidR="009215FB" w:rsidRPr="00784126">
        <w:rPr>
          <w:sz w:val="18"/>
          <w:szCs w:val="18"/>
        </w:rPr>
        <w:t>Stress and the reproductive axis.</w:t>
      </w:r>
      <w:r w:rsidR="00784126" w:rsidRPr="00784126">
        <w:rPr>
          <w:sz w:val="18"/>
          <w:szCs w:val="18"/>
        </w:rPr>
        <w:t>”</w:t>
      </w:r>
      <w:r w:rsidR="009215FB" w:rsidRPr="00784126">
        <w:rPr>
          <w:sz w:val="18"/>
          <w:szCs w:val="18"/>
        </w:rPr>
        <w:t xml:space="preserve"> J Neuroendocrinol </w:t>
      </w:r>
      <w:r w:rsidR="00784126" w:rsidRPr="00784126">
        <w:rPr>
          <w:sz w:val="18"/>
          <w:szCs w:val="18"/>
        </w:rPr>
        <w:t>26:573–86, 2014</w:t>
      </w:r>
    </w:p>
    <w:p w:rsidR="0044722A" w:rsidRDefault="0044722A" w:rsidP="0044722A">
      <w:pPr>
        <w:ind w:left="900" w:hanging="810"/>
        <w:jc w:val="both"/>
        <w:rPr>
          <w:color w:val="231F20"/>
          <w:shd w:val="clear" w:color="auto" w:fill="FFFFFF"/>
        </w:rPr>
      </w:pPr>
    </w:p>
    <w:p w:rsidR="00076F9F" w:rsidRPr="00076F9F" w:rsidRDefault="00076F9F" w:rsidP="00076F9F">
      <w:pPr>
        <w:shd w:val="clear" w:color="auto" w:fill="FFFFFF"/>
        <w:spacing w:line="0" w:lineRule="auto"/>
        <w:rPr>
          <w:rFonts w:ascii="ff2" w:hAnsi="ff2"/>
          <w:color w:val="231F20"/>
          <w:sz w:val="96"/>
          <w:szCs w:val="96"/>
          <w:lang w:val="en-US"/>
        </w:rPr>
      </w:pPr>
      <w:r w:rsidRPr="00076F9F">
        <w:rPr>
          <w:rFonts w:ascii="ff2" w:hAnsi="ff2"/>
          <w:color w:val="231F20"/>
          <w:sz w:val="96"/>
          <w:szCs w:val="96"/>
          <w:lang w:val="en-US"/>
        </w:rPr>
        <w:t xml:space="preserve">Asupan gizi dan status gizi vegetarian pada komunitas vegetarian di </w:t>
      </w:r>
    </w:p>
    <w:p w:rsidR="00076F9F" w:rsidRPr="0044722A" w:rsidRDefault="00076F9F" w:rsidP="0044722A">
      <w:pPr>
        <w:shd w:val="clear" w:color="auto" w:fill="FFFFFF"/>
        <w:spacing w:line="0" w:lineRule="auto"/>
        <w:rPr>
          <w:rFonts w:ascii="ff2" w:hAnsi="ff2"/>
          <w:color w:val="231F20"/>
          <w:sz w:val="96"/>
          <w:szCs w:val="96"/>
          <w:lang w:val="en-US"/>
        </w:rPr>
      </w:pPr>
      <w:r w:rsidRPr="00076F9F">
        <w:rPr>
          <w:rFonts w:ascii="ff2" w:hAnsi="ff2"/>
          <w:color w:val="231F20"/>
          <w:sz w:val="96"/>
          <w:szCs w:val="96"/>
          <w:lang w:val="en-US"/>
        </w:rPr>
        <w:t>Yogyakarta</w:t>
      </w:r>
    </w:p>
    <w:p w:rsidR="00076F9F" w:rsidRPr="00660209" w:rsidRDefault="00076F9F" w:rsidP="00660209">
      <w:pPr>
        <w:ind w:left="900" w:hanging="810"/>
        <w:jc w:val="both"/>
        <w:rPr>
          <w:sz w:val="24"/>
          <w:szCs w:val="24"/>
        </w:rPr>
      </w:pPr>
    </w:p>
    <w:p w:rsidR="00660209" w:rsidRDefault="00660209" w:rsidP="00784126">
      <w:pPr>
        <w:ind w:left="360" w:hanging="360"/>
        <w:jc w:val="both"/>
        <w:rPr>
          <w:sz w:val="24"/>
          <w:szCs w:val="24"/>
        </w:rPr>
      </w:pPr>
    </w:p>
    <w:p w:rsidR="00660209" w:rsidRDefault="00660209" w:rsidP="00660209">
      <w:pPr>
        <w:ind w:left="900" w:hanging="810"/>
        <w:jc w:val="both"/>
        <w:rPr>
          <w:sz w:val="24"/>
          <w:szCs w:val="24"/>
        </w:rPr>
      </w:pPr>
    </w:p>
    <w:p w:rsidR="00660209" w:rsidRDefault="00660209" w:rsidP="00660209">
      <w:pPr>
        <w:ind w:left="360" w:hanging="360"/>
        <w:rPr>
          <w:sz w:val="24"/>
          <w:szCs w:val="24"/>
        </w:rPr>
      </w:pPr>
    </w:p>
    <w:p w:rsidR="00660209" w:rsidRPr="00660209" w:rsidRDefault="00660209" w:rsidP="00660209">
      <w:pPr>
        <w:ind w:left="900" w:hanging="810"/>
        <w:jc w:val="both"/>
        <w:rPr>
          <w:sz w:val="24"/>
          <w:szCs w:val="24"/>
        </w:rPr>
      </w:pPr>
    </w:p>
    <w:p w:rsidR="00E4797F" w:rsidRDefault="00E4797F" w:rsidP="002724C3">
      <w:pPr>
        <w:rPr>
          <w:b/>
        </w:rPr>
      </w:pPr>
    </w:p>
    <w:p w:rsidR="002724C3" w:rsidRPr="009C4415" w:rsidRDefault="002724C3" w:rsidP="002724C3">
      <w:pPr>
        <w:rPr>
          <w:rStyle w:val="apple-style-span"/>
          <w:b/>
          <w:color w:val="000000"/>
        </w:rPr>
      </w:pPr>
    </w:p>
    <w:p w:rsidR="002724C3" w:rsidRDefault="002724C3" w:rsidP="00904D6D">
      <w:pPr>
        <w:rPr>
          <w:bCs/>
        </w:rPr>
      </w:pPr>
    </w:p>
    <w:p w:rsidR="00216D0E" w:rsidRDefault="00216D0E" w:rsidP="00904D6D">
      <w:pPr>
        <w:rPr>
          <w:bCs/>
        </w:rPr>
      </w:pPr>
    </w:p>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 w:rsidR="002724C3" w:rsidRDefault="002724C3" w:rsidP="00216D0E">
      <w:pPr>
        <w:rPr>
          <w:rFonts w:ascii="Arial" w:hAnsi="Arial" w:cs="Arial"/>
          <w:color w:val="000000"/>
          <w:sz w:val="17"/>
          <w:szCs w:val="17"/>
          <w:shd w:val="clear" w:color="auto" w:fill="FFFFFF"/>
        </w:rPr>
      </w:pPr>
    </w:p>
    <w:p w:rsidR="002724C3" w:rsidRDefault="002724C3" w:rsidP="00216D0E">
      <w:pPr>
        <w:rPr>
          <w:rFonts w:ascii="Arial" w:hAnsi="Arial" w:cs="Arial"/>
          <w:color w:val="000000"/>
          <w:sz w:val="27"/>
          <w:szCs w:val="27"/>
          <w:shd w:val="clear" w:color="auto" w:fill="FFFFFF"/>
        </w:rPr>
      </w:pPr>
    </w:p>
    <w:p w:rsidR="002724C3" w:rsidRDefault="002724C3" w:rsidP="00216D0E">
      <w:pPr>
        <w:rPr>
          <w:rFonts w:ascii="Arial" w:hAnsi="Arial" w:cs="Arial"/>
          <w:color w:val="000000"/>
          <w:sz w:val="27"/>
          <w:szCs w:val="27"/>
          <w:shd w:val="clear" w:color="auto" w:fill="FFFFFF"/>
        </w:rPr>
      </w:pPr>
    </w:p>
    <w:p w:rsidR="002724C3" w:rsidRDefault="002724C3" w:rsidP="00216D0E"/>
    <w:p w:rsidR="00216D0E" w:rsidRPr="009C4415" w:rsidRDefault="00216D0E" w:rsidP="00904D6D">
      <w:pPr>
        <w:rPr>
          <w:bCs/>
        </w:rPr>
      </w:pPr>
    </w:p>
    <w:sectPr w:rsidR="00216D0E" w:rsidRPr="009C4415" w:rsidSect="00B247EE">
      <w:headerReference w:type="even" r:id="rId16"/>
      <w:headerReference w:type="default" r:id="rId17"/>
      <w:footerReference w:type="even" r:id="rId18"/>
      <w:footerReference w:type="default" r:id="rId19"/>
      <w:headerReference w:type="first" r:id="rId20"/>
      <w:footerReference w:type="first" r:id="rId21"/>
      <w:pgSz w:w="11907" w:h="16840" w:code="9"/>
      <w:pgMar w:top="1411" w:right="1138" w:bottom="1138" w:left="1411" w:header="1138" w:footer="1138"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91" w:rsidRDefault="00E20A91">
      <w:r>
        <w:separator/>
      </w:r>
    </w:p>
  </w:endnote>
  <w:endnote w:type="continuationSeparator" w:id="0">
    <w:p w:rsidR="00E20A91" w:rsidRDefault="00E2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dobe">
    <w:altName w:val="Times New Roman"/>
    <w:panose1 w:val="00000000000000000000"/>
    <w:charset w:val="00"/>
    <w:family w:val="roman"/>
    <w:notTrueType/>
    <w:pitch w:val="default"/>
  </w:font>
  <w:font w:name="Adobe Garamond Pro">
    <w:altName w:val="Georgia"/>
    <w:panose1 w:val="00000000000000000000"/>
    <w:charset w:val="00"/>
    <w:family w:val="roman"/>
    <w:notTrueType/>
    <w:pitch w:val="variable"/>
    <w:sig w:usb0="00000001" w:usb1="00000001"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ff2">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B6736" w:rsidP="00C07BEF">
    <w:pPr>
      <w:pStyle w:val="Header"/>
      <w:tabs>
        <w:tab w:val="clear" w:pos="4320"/>
        <w:tab w:val="clear" w:pos="8640"/>
        <w:tab w:val="left" w:pos="2992"/>
      </w:tabs>
      <w:spacing w:before="240"/>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FQ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ztOnOYhGB19CiiHRWOc/cd2hYJRYAucITE5b5wMRUgwh4R6lN0LK&#10;KLZUqC/xYppPY4LTUrDgDGHOHvaVtOhEwrjEL1YFnscwq4+KRbCWE7a+2Z4IebXhcqkCHpQCdG7W&#10;dR5+LNLFer6eT0aTfLYeTdK6Hn3cVJPRbJN9mNZPdVXV2c9ALZsUrWCMq8BumM1s8nfa317Jdaru&#10;03lvQ/IWPfYLyA7/SDpqGeS7DsJes8vODhrDOMbg29MJ8/64B/vxga9+AQ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BAsTFQ&#10;EgIAACgEAAAOAAAAAAAAAAAAAAAAAC4CAABkcnMvZTJvRG9jLnhtbFBLAQItABQABgAIAAAAIQCV&#10;wE/S3AAAAAgBAAAPAAAAAAAAAAAAAAAAAGwEAABkcnMvZG93bnJldi54bWxQSwUGAAAAAAQABADz&#10;AAAAdQUAAAAA&#10;"/>
          </w:pict>
        </mc:Fallback>
      </mc:AlternateContent>
    </w:r>
    <w:r w:rsidR="002B1718">
      <w:t>IJPHS Vol. x, No. x, Month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2B1718" w:rsidP="0094367D">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2B1718" w:rsidP="00C07BEF">
    <w:pPr>
      <w:pStyle w:val="Footer"/>
      <w:pBdr>
        <w:top w:val="single" w:sz="4" w:space="1" w:color="auto"/>
      </w:pBdr>
      <w:spacing w:before="240"/>
      <w:rPr>
        <w:i/>
        <w:szCs w:val="18"/>
      </w:rPr>
    </w:pPr>
    <w:r>
      <w:rPr>
        <w:b/>
        <w:i/>
        <w:szCs w:val="18"/>
      </w:rPr>
      <w:t>Journal homepage</w:t>
    </w:r>
    <w:r>
      <w:rPr>
        <w:i/>
        <w:szCs w:val="18"/>
      </w:rPr>
      <w:t>: http://iaesjournal.com/online/index.php/IJPHS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91" w:rsidRDefault="00E20A91">
      <w:r>
        <w:separator/>
      </w:r>
    </w:p>
  </w:footnote>
  <w:footnote w:type="continuationSeparator" w:id="0">
    <w:p w:rsidR="00E20A91" w:rsidRDefault="00E20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C2A0F" w:rsidP="008B04B3">
    <w:pPr>
      <w:pStyle w:val="Header"/>
      <w:framePr w:wrap="around" w:vAnchor="text" w:hAnchor="margin" w:xAlign="outside" w:y="1"/>
      <w:rPr>
        <w:rStyle w:val="PageNumber"/>
      </w:rPr>
    </w:pPr>
    <w:r w:rsidRPr="003D5B84">
      <w:rPr>
        <w:rStyle w:val="PageNumber"/>
      </w:rPr>
      <w:fldChar w:fldCharType="begin"/>
    </w:r>
    <w:r w:rsidR="002B1718" w:rsidRPr="003D5B84">
      <w:rPr>
        <w:rStyle w:val="PageNumber"/>
      </w:rPr>
      <w:instrText xml:space="preserve">PAGE  </w:instrText>
    </w:r>
    <w:r w:rsidRPr="003D5B84">
      <w:rPr>
        <w:rStyle w:val="PageNumber"/>
      </w:rPr>
      <w:fldChar w:fldCharType="separate"/>
    </w:r>
    <w:r w:rsidR="00EB6736">
      <w:rPr>
        <w:rStyle w:val="PageNumber"/>
        <w:noProof/>
      </w:rPr>
      <w:t>34</w:t>
    </w:r>
    <w:r w:rsidRPr="003D5B84">
      <w:rPr>
        <w:rStyle w:val="PageNumber"/>
      </w:rPr>
      <w:fldChar w:fldCharType="end"/>
    </w:r>
  </w:p>
  <w:p w:rsidR="00097958" w:rsidRPr="003D5B84" w:rsidRDefault="00EB6736" w:rsidP="00C07BEF">
    <w:pPr>
      <w:pStyle w:val="Header"/>
      <w:tabs>
        <w:tab w:val="clear" w:pos="4320"/>
        <w:tab w:val="clear" w:pos="8640"/>
        <w:tab w:val="right" w:pos="851"/>
        <w:tab w:val="left" w:pos="3405"/>
        <w:tab w:val="right" w:pos="8789"/>
      </w:tabs>
      <w:spacing w:after="240"/>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" strokeweight="1pt"/>
          </w:pict>
        </mc:Fallback>
      </mc:AlternateContent>
    </w:r>
    <w:r w:rsidR="002B1718">
      <w:t xml:space="preserve">     </w:t>
    </w:r>
    <w:r w:rsidR="002B1718">
      <w:tab/>
    </w:r>
    <w:r w:rsidR="002B1718">
      <w:rPr>
        <w:rFonts w:ascii="Wingdings" w:hAnsi="Wingdings"/>
      </w:rPr>
      <w:sym w:font="Wingdings" w:char="F072"/>
    </w:r>
    <w:r w:rsidR="002B1718">
      <w:t xml:space="preserve"> </w:t>
    </w:r>
    <w:r w:rsidR="002B1718">
      <w:tab/>
    </w:r>
    <w:r w:rsidR="002B1718">
      <w:tab/>
      <w:t xml:space="preserve">       ISSN: 2252-8806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3C2A0F" w:rsidP="00F173DD">
    <w:pPr>
      <w:pStyle w:val="Header"/>
      <w:framePr w:wrap="around" w:vAnchor="text" w:hAnchor="margin" w:xAlign="outside" w:y="1"/>
      <w:rPr>
        <w:rStyle w:val="PageNumber"/>
      </w:rPr>
    </w:pPr>
    <w:r w:rsidRPr="003D5B84">
      <w:rPr>
        <w:rStyle w:val="PageNumber"/>
      </w:rPr>
      <w:fldChar w:fldCharType="begin"/>
    </w:r>
    <w:r w:rsidR="002B1718" w:rsidRPr="003D5B84">
      <w:rPr>
        <w:rStyle w:val="PageNumber"/>
      </w:rPr>
      <w:instrText xml:space="preserve">PAGE  </w:instrText>
    </w:r>
    <w:r w:rsidRPr="003D5B84">
      <w:rPr>
        <w:rStyle w:val="PageNumber"/>
      </w:rPr>
      <w:fldChar w:fldCharType="separate"/>
    </w:r>
    <w:r w:rsidR="00EB6736">
      <w:rPr>
        <w:rStyle w:val="PageNumber"/>
        <w:noProof/>
      </w:rPr>
      <w:t>35</w:t>
    </w:r>
    <w:r w:rsidRPr="003D5B84">
      <w:rPr>
        <w:rStyle w:val="PageNumber"/>
      </w:rPr>
      <w:fldChar w:fldCharType="end"/>
    </w:r>
  </w:p>
  <w:p w:rsidR="00097958" w:rsidRPr="003D5B84" w:rsidRDefault="002B1718" w:rsidP="00C07BEF">
    <w:pPr>
      <w:pStyle w:val="Header"/>
      <w:pBdr>
        <w:bottom w:val="single" w:sz="4" w:space="1" w:color="auto"/>
      </w:pBdr>
      <w:tabs>
        <w:tab w:val="clear" w:pos="4320"/>
        <w:tab w:val="clear" w:pos="8640"/>
        <w:tab w:val="left" w:pos="0"/>
        <w:tab w:val="center" w:pos="4301"/>
        <w:tab w:val="left" w:pos="7938"/>
      </w:tabs>
    </w:pPr>
    <w:r>
      <w:t>IJPHS</w:t>
    </w:r>
    <w:r>
      <w:tab/>
      <w:t>ISSN: 2252-8806</w:t>
    </w:r>
    <w:r>
      <w:tab/>
    </w:r>
    <w:r>
      <w:rPr>
        <w:rFonts w:ascii="Wingdings" w:hAnsi="Wingdings"/>
      </w:rPr>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2B1718" w:rsidP="008B04B3">
    <w:pPr>
      <w:pStyle w:val="Header"/>
      <w:tabs>
        <w:tab w:val="clear" w:pos="4320"/>
        <w:tab w:val="clear" w:pos="8640"/>
      </w:tabs>
      <w:ind w:right="45"/>
      <w:rPr>
        <w:b/>
      </w:rPr>
    </w:pPr>
    <w:r>
      <w:rPr>
        <w:b/>
      </w:rPr>
      <w:t>International Journal of Public Health Science (IJPHS)</w:t>
    </w:r>
  </w:p>
  <w:p w:rsidR="002F6BBA" w:rsidRPr="003D5B84" w:rsidRDefault="002B1718" w:rsidP="008B04B3">
    <w:pPr>
      <w:pStyle w:val="Header"/>
      <w:tabs>
        <w:tab w:val="clear" w:pos="4320"/>
        <w:tab w:val="clear" w:pos="8640"/>
      </w:tabs>
      <w:ind w:right="45"/>
    </w:pPr>
    <w:r>
      <w:t>Vol.x, No.x, July 201x, pp. xx~xx</w:t>
    </w:r>
  </w:p>
  <w:p w:rsidR="00097958" w:rsidRPr="003D5B84" w:rsidRDefault="002B1718" w:rsidP="00957C11">
    <w:pPr>
      <w:pStyle w:val="Header"/>
      <w:tabs>
        <w:tab w:val="clear" w:pos="4320"/>
        <w:tab w:val="clear" w:pos="8640"/>
        <w:tab w:val="left" w:pos="7938"/>
        <w:tab w:val="right" w:pos="8789"/>
      </w:tabs>
      <w:rPr>
        <w:rStyle w:val="PageNumber"/>
      </w:rPr>
    </w:pPr>
    <w:r>
      <w:t>ISSN: 2252-8806</w:t>
    </w:r>
    <w:r>
      <w:tab/>
    </w:r>
    <w:r>
      <w:rPr>
        <w:rFonts w:ascii="Wingdings" w:hAnsi="Wingdings"/>
      </w:rPr>
      <w:sym w:font="Wingdings" w:char="F072"/>
    </w:r>
    <w:r>
      <w:t xml:space="preserve">    </w:t>
    </w:r>
    <w:r>
      <w:tab/>
    </w:r>
    <w:r w:rsidR="003C2A0F" w:rsidRPr="003D5B84">
      <w:rPr>
        <w:rStyle w:val="PageNumber"/>
      </w:rPr>
      <w:fldChar w:fldCharType="begin"/>
    </w:r>
    <w:r w:rsidRPr="003D5B84">
      <w:rPr>
        <w:rStyle w:val="PageNumber"/>
      </w:rPr>
      <w:instrText xml:space="preserve"> PAGE </w:instrText>
    </w:r>
    <w:r w:rsidR="003C2A0F" w:rsidRPr="003D5B84">
      <w:rPr>
        <w:rStyle w:val="PageNumber"/>
      </w:rPr>
      <w:fldChar w:fldCharType="separate"/>
    </w:r>
    <w:r w:rsidR="00EB6736">
      <w:rPr>
        <w:rStyle w:val="PageNumber"/>
        <w:noProof/>
      </w:rPr>
      <w:t>31</w:t>
    </w:r>
    <w:r w:rsidR="003C2A0F" w:rsidRPr="003D5B84">
      <w:rPr>
        <w:rStyle w:val="PageNumber"/>
      </w:rPr>
      <w:fldChar w:fldCharType="end"/>
    </w:r>
  </w:p>
  <w:p w:rsidR="00097958" w:rsidRPr="003D5B84" w:rsidRDefault="00EB6736" w:rsidP="008B04B3">
    <w:pPr>
      <w:pStyle w:val="Header"/>
      <w:tabs>
        <w:tab w:val="clear" w:pos="4320"/>
        <w:tab w:val="clear" w:pos="8640"/>
      </w:tabs>
      <w:ind w:right="45"/>
      <w:jc w:val="right"/>
      <w:rPr>
        <w:rStyle w:val="PageNumber"/>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ABaQj6HgIAADwEAAAOAAAAAAAAAAAAAAAAAC4CAABkcnMvZTJvRG9jLnhtbFBLAQItABQABgAI&#10;AAAAIQCsX0WC1gAAAAQBAAAPAAAAAAAAAAAAAAAAAHgEAABkcnMvZG93bnJldi54bWxQSwUGAAAA&#10;AAQABADzAAAAewUAAAAA&#10;" strokeweight="1pt"/>
          </w:pict>
        </mc:Fallback>
      </mc:AlternateContent>
    </w:r>
    <w:r w:rsidR="002B1718">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1A0363"/>
    <w:multiLevelType w:val="hybridMultilevel"/>
    <w:tmpl w:val="51DE1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991C5D"/>
    <w:multiLevelType w:val="hybridMultilevel"/>
    <w:tmpl w:val="DAAA675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796E7E"/>
    <w:multiLevelType w:val="hybridMultilevel"/>
    <w:tmpl w:val="F052343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E670CC"/>
    <w:multiLevelType w:val="hybridMultilevel"/>
    <w:tmpl w:val="9F306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782411"/>
    <w:multiLevelType w:val="hybridMultilevel"/>
    <w:tmpl w:val="FA8C5D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start w:val="1"/>
      <w:numFmt w:val="decimal"/>
      <w:lvlText w:val="[%1]"/>
      <w:lvlJc w:val="left"/>
      <w:pPr>
        <w:tabs>
          <w:tab w:val="num" w:pos="360"/>
        </w:tabs>
        <w:ind w:left="36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start w:val="1"/>
      <w:numFmt w:val="decimal"/>
      <w:lvlText w:val="[%1] "/>
      <w:lvlJc w:val="left"/>
      <w:pPr>
        <w:tabs>
          <w:tab w:val="num" w:pos="360"/>
        </w:tabs>
        <w:ind w:left="360" w:hanging="360"/>
      </w:pPr>
      <w:rPr>
        <w:rFonts w:ascii="Arial" w:hAnsi="Arial" w:hint="default"/>
        <w:b w:val="0"/>
        <w:i w:val="0"/>
        <w:sz w:val="20"/>
        <w:szCs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458"/>
        </w:tabs>
        <w:ind w:left="-458" w:hanging="360"/>
      </w:pPr>
    </w:lvl>
    <w:lvl w:ilvl="2" w:tentative="1">
      <w:start w:val="1"/>
      <w:numFmt w:val="lowerRoman"/>
      <w:lvlText w:val="%3."/>
      <w:lvlJc w:val="right"/>
      <w:pPr>
        <w:tabs>
          <w:tab w:val="num" w:pos="262"/>
        </w:tabs>
        <w:ind w:left="262" w:hanging="180"/>
      </w:pPr>
    </w:lvl>
    <w:lvl w:ilvl="3" w:tentative="1">
      <w:start w:val="1"/>
      <w:numFmt w:val="decimal"/>
      <w:lvlText w:val="%4."/>
      <w:lvlJc w:val="left"/>
      <w:pPr>
        <w:tabs>
          <w:tab w:val="num" w:pos="982"/>
        </w:tabs>
        <w:ind w:left="982" w:hanging="360"/>
      </w:pPr>
    </w:lvl>
    <w:lvl w:ilvl="4" w:tentative="1">
      <w:start w:val="1"/>
      <w:numFmt w:val="lowerLetter"/>
      <w:lvlText w:val="%5."/>
      <w:lvlJc w:val="left"/>
      <w:pPr>
        <w:tabs>
          <w:tab w:val="num" w:pos="1702"/>
        </w:tabs>
        <w:ind w:left="1702" w:hanging="360"/>
      </w:pPr>
    </w:lvl>
    <w:lvl w:ilvl="5" w:tentative="1">
      <w:start w:val="1"/>
      <w:numFmt w:val="lowerRoman"/>
      <w:lvlText w:val="%6."/>
      <w:lvlJc w:val="right"/>
      <w:pPr>
        <w:tabs>
          <w:tab w:val="num" w:pos="2422"/>
        </w:tabs>
        <w:ind w:left="2422" w:hanging="180"/>
      </w:pPr>
    </w:lvl>
    <w:lvl w:ilvl="6" w:tentative="1">
      <w:start w:val="1"/>
      <w:numFmt w:val="decimal"/>
      <w:lvlText w:val="%7."/>
      <w:lvlJc w:val="left"/>
      <w:pPr>
        <w:tabs>
          <w:tab w:val="num" w:pos="3142"/>
        </w:tabs>
        <w:ind w:left="3142" w:hanging="360"/>
      </w:pPr>
    </w:lvl>
    <w:lvl w:ilvl="7" w:tentative="1">
      <w:start w:val="1"/>
      <w:numFmt w:val="lowerLetter"/>
      <w:lvlText w:val="%8."/>
      <w:lvlJc w:val="left"/>
      <w:pPr>
        <w:tabs>
          <w:tab w:val="num" w:pos="3862"/>
        </w:tabs>
        <w:ind w:left="3862" w:hanging="360"/>
      </w:pPr>
    </w:lvl>
    <w:lvl w:ilvl="8"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start w:val="1"/>
      <w:numFmt w:val="decimal"/>
      <w:lvlText w:val="[%1]"/>
      <w:lvlJc w:val="left"/>
      <w:pPr>
        <w:ind w:left="720" w:hanging="360"/>
      </w:pPr>
      <w:rPr>
        <w:rFonts w:ascii="Times New Roman" w:hAnsi="Times New Roman" w:hint="default"/>
        <w:b w:val="0"/>
        <w:i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0A3B17"/>
    <w:multiLevelType w:val="hybridMultilevel"/>
    <w:tmpl w:val="81B8EEB4"/>
    <w:lvl w:ilvl="0">
      <w:start w:val="1"/>
      <w:numFmt w:val="decimal"/>
      <w:lvlText w:val="%1."/>
      <w:lvlJc w:val="left"/>
      <w:pPr>
        <w:ind w:left="720" w:hanging="360"/>
      </w:pPr>
      <w:rPr>
        <w:rFonts w:ascii="Times New Roman" w:hAnsi="Times New Roman" w:hint="default"/>
        <w:b/>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6"/>
  </w:num>
  <w:num w:numId="16">
    <w:abstractNumId w:val="6"/>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FC8"/>
    <w:rsid w:val="00066063"/>
    <w:rsid w:val="0007154C"/>
    <w:rsid w:val="0007236F"/>
    <w:rsid w:val="00073635"/>
    <w:rsid w:val="00073E78"/>
    <w:rsid w:val="00076C16"/>
    <w:rsid w:val="00076F9F"/>
    <w:rsid w:val="000776D4"/>
    <w:rsid w:val="00080CCD"/>
    <w:rsid w:val="000830A2"/>
    <w:rsid w:val="00083B9D"/>
    <w:rsid w:val="00083DD6"/>
    <w:rsid w:val="00084678"/>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1E8"/>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CBF"/>
    <w:rsid w:val="000E4FD6"/>
    <w:rsid w:val="000E708C"/>
    <w:rsid w:val="000F257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0BC"/>
    <w:rsid w:val="00114470"/>
    <w:rsid w:val="00117326"/>
    <w:rsid w:val="00117C85"/>
    <w:rsid w:val="00121C37"/>
    <w:rsid w:val="00122833"/>
    <w:rsid w:val="00125C41"/>
    <w:rsid w:val="00126B1A"/>
    <w:rsid w:val="0013179E"/>
    <w:rsid w:val="00131A6C"/>
    <w:rsid w:val="00131E4C"/>
    <w:rsid w:val="00133B59"/>
    <w:rsid w:val="00136716"/>
    <w:rsid w:val="00137465"/>
    <w:rsid w:val="00137553"/>
    <w:rsid w:val="00137E25"/>
    <w:rsid w:val="00137F36"/>
    <w:rsid w:val="001434C3"/>
    <w:rsid w:val="001441CB"/>
    <w:rsid w:val="00145453"/>
    <w:rsid w:val="0014611F"/>
    <w:rsid w:val="00146861"/>
    <w:rsid w:val="001517E4"/>
    <w:rsid w:val="00151E7C"/>
    <w:rsid w:val="0015216B"/>
    <w:rsid w:val="00153387"/>
    <w:rsid w:val="00154C55"/>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927"/>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341A"/>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D0E"/>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24C3"/>
    <w:rsid w:val="002743A4"/>
    <w:rsid w:val="00274BCC"/>
    <w:rsid w:val="00275406"/>
    <w:rsid w:val="002769E7"/>
    <w:rsid w:val="00277A70"/>
    <w:rsid w:val="00281882"/>
    <w:rsid w:val="00281D99"/>
    <w:rsid w:val="002821B9"/>
    <w:rsid w:val="0028450D"/>
    <w:rsid w:val="00290220"/>
    <w:rsid w:val="00291EBF"/>
    <w:rsid w:val="00296D8E"/>
    <w:rsid w:val="002A0772"/>
    <w:rsid w:val="002A7E84"/>
    <w:rsid w:val="002B0601"/>
    <w:rsid w:val="002B10C7"/>
    <w:rsid w:val="002B1718"/>
    <w:rsid w:val="002B34AA"/>
    <w:rsid w:val="002B66EF"/>
    <w:rsid w:val="002B6EC9"/>
    <w:rsid w:val="002B7609"/>
    <w:rsid w:val="002C0665"/>
    <w:rsid w:val="002C2C92"/>
    <w:rsid w:val="002C3B0D"/>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78E5"/>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6651"/>
    <w:rsid w:val="00393D9D"/>
    <w:rsid w:val="00393E61"/>
    <w:rsid w:val="003947C3"/>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545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722A"/>
    <w:rsid w:val="004500D7"/>
    <w:rsid w:val="004503E9"/>
    <w:rsid w:val="00453463"/>
    <w:rsid w:val="004550E4"/>
    <w:rsid w:val="0045517A"/>
    <w:rsid w:val="004637E8"/>
    <w:rsid w:val="00467368"/>
    <w:rsid w:val="004674CD"/>
    <w:rsid w:val="004710EE"/>
    <w:rsid w:val="00472E56"/>
    <w:rsid w:val="0047335F"/>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5F5F"/>
    <w:rsid w:val="004C65D5"/>
    <w:rsid w:val="004D03FF"/>
    <w:rsid w:val="004D1228"/>
    <w:rsid w:val="004D7295"/>
    <w:rsid w:val="004E140A"/>
    <w:rsid w:val="004E154B"/>
    <w:rsid w:val="004E1914"/>
    <w:rsid w:val="004E3613"/>
    <w:rsid w:val="004E3AFD"/>
    <w:rsid w:val="004E3CAD"/>
    <w:rsid w:val="004E3F3E"/>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4883"/>
    <w:rsid w:val="0055649A"/>
    <w:rsid w:val="00563102"/>
    <w:rsid w:val="00572013"/>
    <w:rsid w:val="00573257"/>
    <w:rsid w:val="0057406E"/>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56C6"/>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0209"/>
    <w:rsid w:val="00662070"/>
    <w:rsid w:val="0066237A"/>
    <w:rsid w:val="006628A9"/>
    <w:rsid w:val="00665A9F"/>
    <w:rsid w:val="00665B37"/>
    <w:rsid w:val="006719D8"/>
    <w:rsid w:val="00672F3B"/>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7B6"/>
    <w:rsid w:val="006B6754"/>
    <w:rsid w:val="006B71FD"/>
    <w:rsid w:val="006C0661"/>
    <w:rsid w:val="006C0E3B"/>
    <w:rsid w:val="006C18AF"/>
    <w:rsid w:val="006C1D12"/>
    <w:rsid w:val="006D29E6"/>
    <w:rsid w:val="006D449D"/>
    <w:rsid w:val="006D5851"/>
    <w:rsid w:val="006D5DAA"/>
    <w:rsid w:val="006D60D9"/>
    <w:rsid w:val="006D6178"/>
    <w:rsid w:val="006E1C9E"/>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1B1"/>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63AB"/>
    <w:rsid w:val="00747DFD"/>
    <w:rsid w:val="00751B9D"/>
    <w:rsid w:val="00752A21"/>
    <w:rsid w:val="00754329"/>
    <w:rsid w:val="007547A1"/>
    <w:rsid w:val="00756A93"/>
    <w:rsid w:val="0075769A"/>
    <w:rsid w:val="00765DEF"/>
    <w:rsid w:val="00766E46"/>
    <w:rsid w:val="00770E6E"/>
    <w:rsid w:val="00771A7C"/>
    <w:rsid w:val="0077230A"/>
    <w:rsid w:val="00772725"/>
    <w:rsid w:val="00773EB7"/>
    <w:rsid w:val="007751AA"/>
    <w:rsid w:val="00777AD7"/>
    <w:rsid w:val="00784126"/>
    <w:rsid w:val="007912CE"/>
    <w:rsid w:val="00793D8D"/>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75E"/>
    <w:rsid w:val="007D7A78"/>
    <w:rsid w:val="007E5812"/>
    <w:rsid w:val="007E68A5"/>
    <w:rsid w:val="007F1EC7"/>
    <w:rsid w:val="007F286F"/>
    <w:rsid w:val="007F2C82"/>
    <w:rsid w:val="007F36F4"/>
    <w:rsid w:val="007F3EAF"/>
    <w:rsid w:val="007F40B0"/>
    <w:rsid w:val="007F5F38"/>
    <w:rsid w:val="007F665B"/>
    <w:rsid w:val="008036B6"/>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9F1"/>
    <w:rsid w:val="008508FF"/>
    <w:rsid w:val="00850CAC"/>
    <w:rsid w:val="0085238C"/>
    <w:rsid w:val="008525D7"/>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4136"/>
    <w:rsid w:val="008D7EA2"/>
    <w:rsid w:val="008E0F80"/>
    <w:rsid w:val="008E1CA4"/>
    <w:rsid w:val="008E22E0"/>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5FB"/>
    <w:rsid w:val="00921D05"/>
    <w:rsid w:val="0092257C"/>
    <w:rsid w:val="00923121"/>
    <w:rsid w:val="009314C3"/>
    <w:rsid w:val="009317FD"/>
    <w:rsid w:val="009406FF"/>
    <w:rsid w:val="00941203"/>
    <w:rsid w:val="009416C1"/>
    <w:rsid w:val="0094367D"/>
    <w:rsid w:val="00943E54"/>
    <w:rsid w:val="00943FA1"/>
    <w:rsid w:val="00945A5C"/>
    <w:rsid w:val="00946389"/>
    <w:rsid w:val="0094738D"/>
    <w:rsid w:val="00950EF7"/>
    <w:rsid w:val="00954DC1"/>
    <w:rsid w:val="00955462"/>
    <w:rsid w:val="00955EC6"/>
    <w:rsid w:val="00956EB6"/>
    <w:rsid w:val="00957C11"/>
    <w:rsid w:val="009617A9"/>
    <w:rsid w:val="00964B02"/>
    <w:rsid w:val="009665BE"/>
    <w:rsid w:val="009673AB"/>
    <w:rsid w:val="00970E84"/>
    <w:rsid w:val="00971153"/>
    <w:rsid w:val="00971DBC"/>
    <w:rsid w:val="00981036"/>
    <w:rsid w:val="00981E5F"/>
    <w:rsid w:val="00983846"/>
    <w:rsid w:val="00990CC8"/>
    <w:rsid w:val="0099227E"/>
    <w:rsid w:val="009949C5"/>
    <w:rsid w:val="009A19B2"/>
    <w:rsid w:val="009A3722"/>
    <w:rsid w:val="009B3EC0"/>
    <w:rsid w:val="009B5FE8"/>
    <w:rsid w:val="009B62B1"/>
    <w:rsid w:val="009B76C2"/>
    <w:rsid w:val="009C080D"/>
    <w:rsid w:val="009C4415"/>
    <w:rsid w:val="009C5293"/>
    <w:rsid w:val="009D117C"/>
    <w:rsid w:val="009D41DF"/>
    <w:rsid w:val="009D5859"/>
    <w:rsid w:val="009D709E"/>
    <w:rsid w:val="009E0249"/>
    <w:rsid w:val="009E055A"/>
    <w:rsid w:val="009E0F0F"/>
    <w:rsid w:val="009E36AC"/>
    <w:rsid w:val="009E4FB4"/>
    <w:rsid w:val="009E5694"/>
    <w:rsid w:val="009E585B"/>
    <w:rsid w:val="009F040E"/>
    <w:rsid w:val="009F5E74"/>
    <w:rsid w:val="00A01765"/>
    <w:rsid w:val="00A0267A"/>
    <w:rsid w:val="00A02DD3"/>
    <w:rsid w:val="00A04D6C"/>
    <w:rsid w:val="00A05622"/>
    <w:rsid w:val="00A1136A"/>
    <w:rsid w:val="00A12EF1"/>
    <w:rsid w:val="00A16250"/>
    <w:rsid w:val="00A17296"/>
    <w:rsid w:val="00A17D28"/>
    <w:rsid w:val="00A21621"/>
    <w:rsid w:val="00A22457"/>
    <w:rsid w:val="00A22900"/>
    <w:rsid w:val="00A31E71"/>
    <w:rsid w:val="00A3340E"/>
    <w:rsid w:val="00A3670B"/>
    <w:rsid w:val="00A42248"/>
    <w:rsid w:val="00A426C8"/>
    <w:rsid w:val="00A42ABF"/>
    <w:rsid w:val="00A4427E"/>
    <w:rsid w:val="00A46733"/>
    <w:rsid w:val="00A46ECF"/>
    <w:rsid w:val="00A477B8"/>
    <w:rsid w:val="00A47AD5"/>
    <w:rsid w:val="00A47F03"/>
    <w:rsid w:val="00A51683"/>
    <w:rsid w:val="00A51892"/>
    <w:rsid w:val="00A52037"/>
    <w:rsid w:val="00A52149"/>
    <w:rsid w:val="00A55F1E"/>
    <w:rsid w:val="00A5654D"/>
    <w:rsid w:val="00A5724F"/>
    <w:rsid w:val="00A6261F"/>
    <w:rsid w:val="00A62D08"/>
    <w:rsid w:val="00A662A3"/>
    <w:rsid w:val="00A6697F"/>
    <w:rsid w:val="00A71C8A"/>
    <w:rsid w:val="00A71ED6"/>
    <w:rsid w:val="00A77E76"/>
    <w:rsid w:val="00A80090"/>
    <w:rsid w:val="00A81B8B"/>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4A57"/>
    <w:rsid w:val="00AD564C"/>
    <w:rsid w:val="00AD7639"/>
    <w:rsid w:val="00AE3182"/>
    <w:rsid w:val="00AE43A3"/>
    <w:rsid w:val="00AE662C"/>
    <w:rsid w:val="00AF095A"/>
    <w:rsid w:val="00AF1119"/>
    <w:rsid w:val="00AF540F"/>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47EE"/>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4774"/>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ABE"/>
    <w:rsid w:val="00BC7CC2"/>
    <w:rsid w:val="00BD049F"/>
    <w:rsid w:val="00BD0E9D"/>
    <w:rsid w:val="00BD218A"/>
    <w:rsid w:val="00BD399A"/>
    <w:rsid w:val="00BD557E"/>
    <w:rsid w:val="00BD5B18"/>
    <w:rsid w:val="00BD5F64"/>
    <w:rsid w:val="00BE0201"/>
    <w:rsid w:val="00BE3232"/>
    <w:rsid w:val="00BE520C"/>
    <w:rsid w:val="00BE7D17"/>
    <w:rsid w:val="00BF16AD"/>
    <w:rsid w:val="00BF2C8B"/>
    <w:rsid w:val="00BF34A7"/>
    <w:rsid w:val="00BF3B14"/>
    <w:rsid w:val="00BF6218"/>
    <w:rsid w:val="00C00EA2"/>
    <w:rsid w:val="00C011EE"/>
    <w:rsid w:val="00C02535"/>
    <w:rsid w:val="00C02EC6"/>
    <w:rsid w:val="00C0352A"/>
    <w:rsid w:val="00C0425B"/>
    <w:rsid w:val="00C05811"/>
    <w:rsid w:val="00C07037"/>
    <w:rsid w:val="00C07BEF"/>
    <w:rsid w:val="00C1015B"/>
    <w:rsid w:val="00C103A1"/>
    <w:rsid w:val="00C10A10"/>
    <w:rsid w:val="00C10D6A"/>
    <w:rsid w:val="00C10EC0"/>
    <w:rsid w:val="00C13B9C"/>
    <w:rsid w:val="00C14063"/>
    <w:rsid w:val="00C141BF"/>
    <w:rsid w:val="00C15102"/>
    <w:rsid w:val="00C15A56"/>
    <w:rsid w:val="00C16B8F"/>
    <w:rsid w:val="00C22F0A"/>
    <w:rsid w:val="00C2325B"/>
    <w:rsid w:val="00C25B1C"/>
    <w:rsid w:val="00C26299"/>
    <w:rsid w:val="00C311E4"/>
    <w:rsid w:val="00C322BB"/>
    <w:rsid w:val="00C33540"/>
    <w:rsid w:val="00C34FF6"/>
    <w:rsid w:val="00C350F2"/>
    <w:rsid w:val="00C35B73"/>
    <w:rsid w:val="00C35B8F"/>
    <w:rsid w:val="00C35FBE"/>
    <w:rsid w:val="00C40E59"/>
    <w:rsid w:val="00C418BF"/>
    <w:rsid w:val="00C4258F"/>
    <w:rsid w:val="00C44562"/>
    <w:rsid w:val="00C453FB"/>
    <w:rsid w:val="00C50166"/>
    <w:rsid w:val="00C502FF"/>
    <w:rsid w:val="00C5241A"/>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B75"/>
    <w:rsid w:val="00CA5D84"/>
    <w:rsid w:val="00CC1960"/>
    <w:rsid w:val="00CE1CF3"/>
    <w:rsid w:val="00CE1E44"/>
    <w:rsid w:val="00CE70F3"/>
    <w:rsid w:val="00CE7659"/>
    <w:rsid w:val="00CF0E18"/>
    <w:rsid w:val="00CF29A4"/>
    <w:rsid w:val="00CF2F2E"/>
    <w:rsid w:val="00CF624D"/>
    <w:rsid w:val="00CF6E34"/>
    <w:rsid w:val="00D03226"/>
    <w:rsid w:val="00D066D9"/>
    <w:rsid w:val="00D076EF"/>
    <w:rsid w:val="00D108C5"/>
    <w:rsid w:val="00D10D7A"/>
    <w:rsid w:val="00D1187F"/>
    <w:rsid w:val="00D11C2D"/>
    <w:rsid w:val="00D1618D"/>
    <w:rsid w:val="00D167B1"/>
    <w:rsid w:val="00D16D1B"/>
    <w:rsid w:val="00D21F66"/>
    <w:rsid w:val="00D24B66"/>
    <w:rsid w:val="00D24C22"/>
    <w:rsid w:val="00D30443"/>
    <w:rsid w:val="00D31492"/>
    <w:rsid w:val="00D3207E"/>
    <w:rsid w:val="00D3478B"/>
    <w:rsid w:val="00D35E12"/>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2607"/>
    <w:rsid w:val="00D634A8"/>
    <w:rsid w:val="00D64C3D"/>
    <w:rsid w:val="00D65A1C"/>
    <w:rsid w:val="00D67099"/>
    <w:rsid w:val="00D71939"/>
    <w:rsid w:val="00D728F2"/>
    <w:rsid w:val="00D72D27"/>
    <w:rsid w:val="00D73317"/>
    <w:rsid w:val="00D7373B"/>
    <w:rsid w:val="00D743C8"/>
    <w:rsid w:val="00D743DA"/>
    <w:rsid w:val="00D744B5"/>
    <w:rsid w:val="00D745B1"/>
    <w:rsid w:val="00D74C5F"/>
    <w:rsid w:val="00D753F3"/>
    <w:rsid w:val="00D9045B"/>
    <w:rsid w:val="00D90EA9"/>
    <w:rsid w:val="00D941C3"/>
    <w:rsid w:val="00D94A99"/>
    <w:rsid w:val="00D95324"/>
    <w:rsid w:val="00D95482"/>
    <w:rsid w:val="00D972B3"/>
    <w:rsid w:val="00DA0390"/>
    <w:rsid w:val="00DA1940"/>
    <w:rsid w:val="00DA3C3C"/>
    <w:rsid w:val="00DB05EC"/>
    <w:rsid w:val="00DB166E"/>
    <w:rsid w:val="00DB3D8C"/>
    <w:rsid w:val="00DB43B8"/>
    <w:rsid w:val="00DB6557"/>
    <w:rsid w:val="00DB7BD1"/>
    <w:rsid w:val="00DB7C8A"/>
    <w:rsid w:val="00DC2DC5"/>
    <w:rsid w:val="00DC341B"/>
    <w:rsid w:val="00DD35E7"/>
    <w:rsid w:val="00DD5486"/>
    <w:rsid w:val="00DD650E"/>
    <w:rsid w:val="00DD7968"/>
    <w:rsid w:val="00DE0B7E"/>
    <w:rsid w:val="00DE1418"/>
    <w:rsid w:val="00DE1862"/>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74B5"/>
    <w:rsid w:val="00E20A91"/>
    <w:rsid w:val="00E23F00"/>
    <w:rsid w:val="00E2599A"/>
    <w:rsid w:val="00E26A0F"/>
    <w:rsid w:val="00E318D4"/>
    <w:rsid w:val="00E339EE"/>
    <w:rsid w:val="00E3557A"/>
    <w:rsid w:val="00E4014C"/>
    <w:rsid w:val="00E401FC"/>
    <w:rsid w:val="00E42D1B"/>
    <w:rsid w:val="00E46C0B"/>
    <w:rsid w:val="00E46FAB"/>
    <w:rsid w:val="00E474DC"/>
    <w:rsid w:val="00E4797F"/>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015"/>
    <w:rsid w:val="00E96737"/>
    <w:rsid w:val="00EA0668"/>
    <w:rsid w:val="00EA127F"/>
    <w:rsid w:val="00EA1F53"/>
    <w:rsid w:val="00EA4376"/>
    <w:rsid w:val="00EA70DC"/>
    <w:rsid w:val="00EB01FF"/>
    <w:rsid w:val="00EB06C6"/>
    <w:rsid w:val="00EB1B47"/>
    <w:rsid w:val="00EB46E1"/>
    <w:rsid w:val="00EB6736"/>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52DF"/>
    <w:rsid w:val="00F277D3"/>
    <w:rsid w:val="00F30997"/>
    <w:rsid w:val="00F32896"/>
    <w:rsid w:val="00F33C08"/>
    <w:rsid w:val="00F34007"/>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68DB"/>
    <w:rsid w:val="00F73E78"/>
    <w:rsid w:val="00F740C2"/>
    <w:rsid w:val="00F75909"/>
    <w:rsid w:val="00F7591E"/>
    <w:rsid w:val="00F75EF9"/>
    <w:rsid w:val="00F77A9B"/>
    <w:rsid w:val="00F81AC0"/>
    <w:rsid w:val="00F83035"/>
    <w:rsid w:val="00F866B0"/>
    <w:rsid w:val="00F869EF"/>
    <w:rsid w:val="00F86BE4"/>
    <w:rsid w:val="00F86C7B"/>
    <w:rsid w:val="00F86D61"/>
    <w:rsid w:val="00F905B6"/>
    <w:rsid w:val="00F90B31"/>
    <w:rsid w:val="00F914B2"/>
    <w:rsid w:val="00F926B9"/>
    <w:rsid w:val="00F9541D"/>
    <w:rsid w:val="00F95DB1"/>
    <w:rsid w:val="00FA0403"/>
    <w:rsid w:val="00FA597D"/>
    <w:rsid w:val="00FA5B9A"/>
    <w:rsid w:val="00FB01B9"/>
    <w:rsid w:val="00FB4E10"/>
    <w:rsid w:val="00FB7595"/>
    <w:rsid w:val="00FB763A"/>
    <w:rsid w:val="00FB79C0"/>
    <w:rsid w:val="00FC2EB8"/>
    <w:rsid w:val="00FC5C43"/>
    <w:rsid w:val="00FD1598"/>
    <w:rsid w:val="00FD576E"/>
    <w:rsid w:val="00FD596B"/>
    <w:rsid w:val="00FE58CC"/>
    <w:rsid w:val="00FE75A9"/>
    <w:rsid w:val="00FF058D"/>
    <w:rsid w:val="00FF0D63"/>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GB"/>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eastAsia="pl-PL"/>
    </w:rPr>
  </w:style>
  <w:style w:type="paragraph" w:styleId="Heading9">
    <w:name w:val="heading 9"/>
    <w:basedOn w:val="Normal"/>
    <w:next w:val="Normal"/>
    <w:qFormat/>
    <w:rsid w:val="00097958"/>
    <w:pPr>
      <w:keepNext/>
      <w:ind w:right="-4041"/>
      <w:outlineLvl w:val="8"/>
    </w:pPr>
    <w:rPr>
      <w:b/>
      <w:bCs/>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GB"/>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GB" w:eastAsia="en-US"/>
    </w:rPr>
  </w:style>
  <w:style w:type="paragraph" w:styleId="Subtitle">
    <w:name w:val="Subtitle"/>
    <w:basedOn w:val="Normal"/>
    <w:qFormat/>
    <w:rsid w:val="00097958"/>
    <w:pPr>
      <w:jc w:val="center"/>
    </w:pPr>
    <w:rPr>
      <w:b/>
      <w:bCs/>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GB"/>
    </w:rPr>
  </w:style>
  <w:style w:type="paragraph" w:customStyle="1" w:styleId="Affiliation">
    <w:name w:val="Affiliation"/>
    <w:rsid w:val="007017C6"/>
    <w:pPr>
      <w:jc w:val="center"/>
    </w:pPr>
    <w:rPr>
      <w:rFonts w:eastAsia="SimSun"/>
      <w:lang w:val="en-GB"/>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GB"/>
    </w:rPr>
  </w:style>
  <w:style w:type="paragraph" w:customStyle="1" w:styleId="papertitle">
    <w:name w:val="paper title"/>
    <w:rsid w:val="007017C6"/>
    <w:pPr>
      <w:spacing w:after="120"/>
      <w:jc w:val="center"/>
    </w:pPr>
    <w:rPr>
      <w:rFonts w:eastAsia="SimSun"/>
      <w:sz w:val="48"/>
      <w:lang w:val="en-GB"/>
    </w:rPr>
  </w:style>
  <w:style w:type="paragraph" w:customStyle="1" w:styleId="references">
    <w:name w:val="references"/>
    <w:rsid w:val="007017C6"/>
    <w:pPr>
      <w:numPr>
        <w:numId w:val="2"/>
      </w:numPr>
      <w:spacing w:after="40" w:line="180" w:lineRule="exact"/>
      <w:jc w:val="both"/>
    </w:pPr>
    <w:rPr>
      <w:rFonts w:eastAsia="SimSun"/>
      <w:sz w:val="16"/>
      <w:lang w:val="en-GB"/>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GB"/>
    </w:rPr>
  </w:style>
  <w:style w:type="paragraph" w:customStyle="1" w:styleId="tablehead">
    <w:name w:val="table head"/>
    <w:rsid w:val="007017C6"/>
    <w:pPr>
      <w:numPr>
        <w:numId w:val="3"/>
      </w:numPr>
      <w:spacing w:before="240" w:after="120" w:line="216" w:lineRule="auto"/>
      <w:jc w:val="center"/>
    </w:pPr>
    <w:rPr>
      <w:rFonts w:eastAsia="SimSun"/>
      <w:smallCaps/>
      <w:sz w:val="16"/>
      <w:lang w:val="en-GB"/>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eastAsia="en-GB"/>
    </w:rPr>
  </w:style>
  <w:style w:type="paragraph" w:styleId="NoSpacing">
    <w:name w:val="No Spacing"/>
    <w:qFormat/>
    <w:rsid w:val="00C35B8F"/>
    <w:rPr>
      <w:rFonts w:ascii="Calibri" w:eastAsia="Calibri" w:hAnsi="Calibri"/>
      <w:sz w:val="22"/>
      <w:szCs w:val="22"/>
      <w:lang w:val="en-GB"/>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s4">
    <w:name w:val="fs4"/>
    <w:rsid w:val="00076F9F"/>
  </w:style>
  <w:style w:type="character" w:customStyle="1" w:styleId="citeddoctitle">
    <w:name w:val="citeddoctitle"/>
    <w:rsid w:val="00073E78"/>
  </w:style>
  <w:style w:type="character" w:customStyle="1" w:styleId="previewtxt">
    <w:name w:val="previewtxt"/>
    <w:rsid w:val="0007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GB"/>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eastAsia="pl-PL"/>
    </w:rPr>
  </w:style>
  <w:style w:type="paragraph" w:styleId="Heading9">
    <w:name w:val="heading 9"/>
    <w:basedOn w:val="Normal"/>
    <w:next w:val="Normal"/>
    <w:qFormat/>
    <w:rsid w:val="00097958"/>
    <w:pPr>
      <w:keepNext/>
      <w:ind w:right="-4041"/>
      <w:outlineLvl w:val="8"/>
    </w:pPr>
    <w:rPr>
      <w:b/>
      <w:bCs/>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GB"/>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GB" w:eastAsia="en-US"/>
    </w:rPr>
  </w:style>
  <w:style w:type="paragraph" w:styleId="Subtitle">
    <w:name w:val="Subtitle"/>
    <w:basedOn w:val="Normal"/>
    <w:qFormat/>
    <w:rsid w:val="00097958"/>
    <w:pPr>
      <w:jc w:val="center"/>
    </w:pPr>
    <w:rPr>
      <w:b/>
      <w:bCs/>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GB"/>
    </w:rPr>
  </w:style>
  <w:style w:type="paragraph" w:customStyle="1" w:styleId="Affiliation">
    <w:name w:val="Affiliation"/>
    <w:rsid w:val="007017C6"/>
    <w:pPr>
      <w:jc w:val="center"/>
    </w:pPr>
    <w:rPr>
      <w:rFonts w:eastAsia="SimSun"/>
      <w:lang w:val="en-GB"/>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GB"/>
    </w:rPr>
  </w:style>
  <w:style w:type="paragraph" w:customStyle="1" w:styleId="papertitle">
    <w:name w:val="paper title"/>
    <w:rsid w:val="007017C6"/>
    <w:pPr>
      <w:spacing w:after="120"/>
      <w:jc w:val="center"/>
    </w:pPr>
    <w:rPr>
      <w:rFonts w:eastAsia="SimSun"/>
      <w:sz w:val="48"/>
      <w:lang w:val="en-GB"/>
    </w:rPr>
  </w:style>
  <w:style w:type="paragraph" w:customStyle="1" w:styleId="references">
    <w:name w:val="references"/>
    <w:rsid w:val="007017C6"/>
    <w:pPr>
      <w:numPr>
        <w:numId w:val="2"/>
      </w:numPr>
      <w:spacing w:after="40" w:line="180" w:lineRule="exact"/>
      <w:jc w:val="both"/>
    </w:pPr>
    <w:rPr>
      <w:rFonts w:eastAsia="SimSun"/>
      <w:sz w:val="16"/>
      <w:lang w:val="en-GB"/>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GB"/>
    </w:rPr>
  </w:style>
  <w:style w:type="paragraph" w:customStyle="1" w:styleId="tablehead">
    <w:name w:val="table head"/>
    <w:rsid w:val="007017C6"/>
    <w:pPr>
      <w:numPr>
        <w:numId w:val="3"/>
      </w:numPr>
      <w:spacing w:before="240" w:after="120" w:line="216" w:lineRule="auto"/>
      <w:jc w:val="center"/>
    </w:pPr>
    <w:rPr>
      <w:rFonts w:eastAsia="SimSun"/>
      <w:smallCaps/>
      <w:sz w:val="16"/>
      <w:lang w:val="en-GB"/>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eastAsia="en-GB"/>
    </w:rPr>
  </w:style>
  <w:style w:type="paragraph" w:styleId="NoSpacing">
    <w:name w:val="No Spacing"/>
    <w:qFormat/>
    <w:rsid w:val="00C35B8F"/>
    <w:rPr>
      <w:rFonts w:ascii="Calibri" w:eastAsia="Calibri" w:hAnsi="Calibri"/>
      <w:sz w:val="22"/>
      <w:szCs w:val="22"/>
      <w:lang w:val="en-GB"/>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s4">
    <w:name w:val="fs4"/>
    <w:rsid w:val="00076F9F"/>
  </w:style>
  <w:style w:type="character" w:customStyle="1" w:styleId="citeddoctitle">
    <w:name w:val="citeddoctitle"/>
    <w:rsid w:val="00073E78"/>
  </w:style>
  <w:style w:type="character" w:customStyle="1" w:styleId="previewtxt">
    <w:name w:val="previewtxt"/>
    <w:rsid w:val="0007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1043">
      <w:bodyDiv w:val="1"/>
      <w:marLeft w:val="0"/>
      <w:marRight w:val="0"/>
      <w:marTop w:val="0"/>
      <w:marBottom w:val="0"/>
      <w:divBdr>
        <w:top w:val="none" w:sz="0" w:space="0" w:color="auto"/>
        <w:left w:val="none" w:sz="0" w:space="0" w:color="auto"/>
        <w:bottom w:val="none" w:sz="0" w:space="0" w:color="auto"/>
        <w:right w:val="none" w:sz="0" w:space="0" w:color="auto"/>
      </w:divBdr>
    </w:div>
    <w:div w:id="929856309">
      <w:bodyDiv w:val="1"/>
      <w:marLeft w:val="0"/>
      <w:marRight w:val="0"/>
      <w:marTop w:val="0"/>
      <w:marBottom w:val="0"/>
      <w:divBdr>
        <w:top w:val="none" w:sz="0" w:space="0" w:color="auto"/>
        <w:left w:val="none" w:sz="0" w:space="0" w:color="auto"/>
        <w:bottom w:val="none" w:sz="0" w:space="0" w:color="auto"/>
        <w:right w:val="none" w:sz="0" w:space="0" w:color="auto"/>
      </w:divBdr>
    </w:div>
    <w:div w:id="1343120884">
      <w:bodyDiv w:val="1"/>
      <w:marLeft w:val="0"/>
      <w:marRight w:val="0"/>
      <w:marTop w:val="0"/>
      <w:marBottom w:val="0"/>
      <w:divBdr>
        <w:top w:val="none" w:sz="0" w:space="0" w:color="auto"/>
        <w:left w:val="none" w:sz="0" w:space="0" w:color="auto"/>
        <w:bottom w:val="none" w:sz="0" w:space="0" w:color="auto"/>
        <w:right w:val="none" w:sz="0" w:space="0" w:color="auto"/>
      </w:divBdr>
    </w:div>
    <w:div w:id="1603607270">
      <w:bodyDiv w:val="1"/>
      <w:marLeft w:val="0"/>
      <w:marRight w:val="0"/>
      <w:marTop w:val="0"/>
      <w:marBottom w:val="0"/>
      <w:divBdr>
        <w:top w:val="none" w:sz="0" w:space="0" w:color="auto"/>
        <w:left w:val="none" w:sz="0" w:space="0" w:color="auto"/>
        <w:bottom w:val="none" w:sz="0" w:space="0" w:color="auto"/>
        <w:right w:val="none" w:sz="0" w:space="0" w:color="auto"/>
      </w:divBdr>
    </w:div>
    <w:div w:id="1723602462">
      <w:bodyDiv w:val="1"/>
      <w:marLeft w:val="0"/>
      <w:marRight w:val="0"/>
      <w:marTop w:val="0"/>
      <w:marBottom w:val="0"/>
      <w:divBdr>
        <w:top w:val="none" w:sz="0" w:space="0" w:color="auto"/>
        <w:left w:val="none" w:sz="0" w:space="0" w:color="auto"/>
        <w:bottom w:val="none" w:sz="0" w:space="0" w:color="auto"/>
        <w:right w:val="none" w:sz="0" w:space="0" w:color="auto"/>
      </w:divBdr>
      <w:divsChild>
        <w:div w:id="126748655">
          <w:marLeft w:val="0"/>
          <w:marRight w:val="0"/>
          <w:marTop w:val="0"/>
          <w:marBottom w:val="0"/>
          <w:divBdr>
            <w:top w:val="none" w:sz="0" w:space="0" w:color="auto"/>
            <w:left w:val="none" w:sz="0" w:space="0" w:color="auto"/>
            <w:bottom w:val="none" w:sz="0" w:space="0" w:color="auto"/>
            <w:right w:val="none" w:sz="0" w:space="0" w:color="auto"/>
          </w:divBdr>
        </w:div>
        <w:div w:id="1551260171">
          <w:marLeft w:val="0"/>
          <w:marRight w:val="0"/>
          <w:marTop w:val="0"/>
          <w:marBottom w:val="0"/>
          <w:divBdr>
            <w:top w:val="none" w:sz="0" w:space="0" w:color="auto"/>
            <w:left w:val="none" w:sz="0" w:space="0" w:color="auto"/>
            <w:bottom w:val="none" w:sz="0" w:space="0" w:color="auto"/>
            <w:right w:val="none" w:sz="0" w:space="0" w:color="auto"/>
          </w:divBdr>
        </w:div>
      </w:divsChild>
    </w:div>
    <w:div w:id="195686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term=Whiting%20AB%5BAuthor%5D&amp;cauthor=true&amp;cauthor_uid=2011391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ncbi.nlm.nih.gov/pubmed/?term=Reider%20BD%5BAuthor%5D&amp;cauthor=true&amp;cauthor_uid=2011391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Lund%20HG%5BAuthor%5D&amp;cauthor=true&amp;cauthor_uid=20113918" TargetMode="External"/><Relationship Id="rId5" Type="http://schemas.openxmlformats.org/officeDocument/2006/relationships/settings" Target="settings.xml"/><Relationship Id="rId15" Type="http://schemas.openxmlformats.org/officeDocument/2006/relationships/hyperlink" Target="https://www.ncbi.nlm.nih.gov/pubmed/20113918" TargetMode="External"/><Relationship Id="rId23" Type="http://schemas.openxmlformats.org/officeDocument/2006/relationships/theme" Target="theme/theme1.xml"/><Relationship Id="rId10" Type="http://schemas.openxmlformats.org/officeDocument/2006/relationships/hyperlink" Target="https://www.ncbi.nlm.nih.gov/pubmed/25458772"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gizi.depkes.go.id/wp-content/uploads/2011/11/buku-sk-antropometri-2010.pdf" TargetMode="External"/><Relationship Id="rId14" Type="http://schemas.openxmlformats.org/officeDocument/2006/relationships/hyperlink" Target="https://www.ncbi.nlm.nih.gov/pubmed/?term=Prichard%20JR%5BAuthor%5D&amp;cauthor=true&amp;cauthor_uid=201139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21BD-0AEF-4389-9389-47ECD51F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19292</CharactersWithSpaces>
  <SharedDoc>false</SharedDoc>
  <HLinks>
    <vt:vector size="42" baseType="variant">
      <vt:variant>
        <vt:i4>917594</vt:i4>
      </vt:variant>
      <vt:variant>
        <vt:i4>18</vt:i4>
      </vt:variant>
      <vt:variant>
        <vt:i4>0</vt:i4>
      </vt:variant>
      <vt:variant>
        <vt:i4>5</vt:i4>
      </vt:variant>
      <vt:variant>
        <vt:lpwstr>https://www.ncbi.nlm.nih.gov/pubmed/20113918</vt:lpwstr>
      </vt:variant>
      <vt:variant>
        <vt:lpwstr/>
      </vt:variant>
      <vt:variant>
        <vt:i4>917604</vt:i4>
      </vt:variant>
      <vt:variant>
        <vt:i4>15</vt:i4>
      </vt:variant>
      <vt:variant>
        <vt:i4>0</vt:i4>
      </vt:variant>
      <vt:variant>
        <vt:i4>5</vt:i4>
      </vt:variant>
      <vt:variant>
        <vt:lpwstr>https://www.ncbi.nlm.nih.gov/pubmed/?term=Prichard%20JR%5BAuthor%5D&amp;cauthor=true&amp;cauthor_uid=20113918</vt:lpwstr>
      </vt:variant>
      <vt:variant>
        <vt:lpwstr/>
      </vt:variant>
      <vt:variant>
        <vt:i4>6553688</vt:i4>
      </vt:variant>
      <vt:variant>
        <vt:i4>12</vt:i4>
      </vt:variant>
      <vt:variant>
        <vt:i4>0</vt:i4>
      </vt:variant>
      <vt:variant>
        <vt:i4>5</vt:i4>
      </vt:variant>
      <vt:variant>
        <vt:lpwstr>https://www.ncbi.nlm.nih.gov/pubmed/?term=Whiting%20AB%5BAuthor%5D&amp;cauthor=true&amp;cauthor_uid=20113918</vt:lpwstr>
      </vt:variant>
      <vt:variant>
        <vt:lpwstr/>
      </vt:variant>
      <vt:variant>
        <vt:i4>6357007</vt:i4>
      </vt:variant>
      <vt:variant>
        <vt:i4>9</vt:i4>
      </vt:variant>
      <vt:variant>
        <vt:i4>0</vt:i4>
      </vt:variant>
      <vt:variant>
        <vt:i4>5</vt:i4>
      </vt:variant>
      <vt:variant>
        <vt:lpwstr>https://www.ncbi.nlm.nih.gov/pubmed/?term=Reider%20BD%5BAuthor%5D&amp;cauthor=true&amp;cauthor_uid=20113918</vt:lpwstr>
      </vt:variant>
      <vt:variant>
        <vt:lpwstr/>
      </vt:variant>
      <vt:variant>
        <vt:i4>589936</vt:i4>
      </vt:variant>
      <vt:variant>
        <vt:i4>6</vt:i4>
      </vt:variant>
      <vt:variant>
        <vt:i4>0</vt:i4>
      </vt:variant>
      <vt:variant>
        <vt:i4>5</vt:i4>
      </vt:variant>
      <vt:variant>
        <vt:lpwstr>https://www.ncbi.nlm.nih.gov/pubmed/?term=Lund%20HG%5BAuthor%5D&amp;cauthor=true&amp;cauthor_uid=20113918</vt:lpwstr>
      </vt:variant>
      <vt:variant>
        <vt:lpwstr/>
      </vt:variant>
      <vt:variant>
        <vt:i4>720978</vt:i4>
      </vt:variant>
      <vt:variant>
        <vt:i4>3</vt:i4>
      </vt:variant>
      <vt:variant>
        <vt:i4>0</vt:i4>
      </vt:variant>
      <vt:variant>
        <vt:i4>5</vt:i4>
      </vt:variant>
      <vt:variant>
        <vt:lpwstr>https://www.ncbi.nlm.nih.gov/pubmed/25458772</vt:lpwstr>
      </vt:variant>
      <vt:variant>
        <vt:lpwstr/>
      </vt:variant>
      <vt:variant>
        <vt:i4>524309</vt:i4>
      </vt:variant>
      <vt:variant>
        <vt:i4>0</vt:i4>
      </vt:variant>
      <vt:variant>
        <vt:i4>0</vt:i4>
      </vt:variant>
      <vt:variant>
        <vt:i4>5</vt:i4>
      </vt:variant>
      <vt:variant>
        <vt:lpwstr>http://gizi.depkes.go.id/wp-content/uploads/2011/11/buku-sk-antropometri-2010.pdf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2</cp:revision>
  <cp:lastPrinted>2004-12-30T03:27:00Z</cp:lastPrinted>
  <dcterms:created xsi:type="dcterms:W3CDTF">2018-11-10T06:28:00Z</dcterms:created>
  <dcterms:modified xsi:type="dcterms:W3CDTF">2018-11-10T06:28:00Z</dcterms:modified>
</cp:coreProperties>
</file>