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6D" w:rsidRDefault="006E4A06" w:rsidP="00904D6D">
      <w:pPr>
        <w:jc w:val="center"/>
        <w:rPr>
          <w:b/>
          <w:bCs/>
          <w:sz w:val="32"/>
          <w:szCs w:val="32"/>
          <w:lang w:val="id-ID"/>
        </w:rPr>
      </w:pPr>
      <w:r>
        <w:rPr>
          <w:b/>
          <w:bCs/>
          <w:sz w:val="32"/>
          <w:szCs w:val="32"/>
          <w:lang w:val="id-ID"/>
        </w:rPr>
        <w:t>R</w:t>
      </w:r>
      <w:r w:rsidRPr="006E4A06">
        <w:rPr>
          <w:b/>
          <w:bCs/>
          <w:sz w:val="32"/>
          <w:szCs w:val="32"/>
          <w:lang w:val="id-ID"/>
        </w:rPr>
        <w:t>elationship</w:t>
      </w:r>
      <w:r w:rsidR="0071571F" w:rsidRPr="0071571F">
        <w:rPr>
          <w:b/>
          <w:bCs/>
          <w:sz w:val="32"/>
          <w:szCs w:val="32"/>
          <w:lang w:val="id-ID"/>
        </w:rPr>
        <w:t xml:space="preserve"> </w:t>
      </w:r>
      <w:r>
        <w:rPr>
          <w:b/>
          <w:bCs/>
          <w:sz w:val="32"/>
          <w:szCs w:val="32"/>
          <w:lang w:val="id-ID"/>
        </w:rPr>
        <w:t>between</w:t>
      </w:r>
      <w:r w:rsidR="0071571F" w:rsidRPr="0071571F">
        <w:rPr>
          <w:b/>
          <w:bCs/>
          <w:sz w:val="32"/>
          <w:szCs w:val="32"/>
          <w:lang w:val="id-ID"/>
        </w:rPr>
        <w:t xml:space="preserve">  Calcium </w:t>
      </w:r>
      <w:r w:rsidR="0021197D" w:rsidRPr="0071571F">
        <w:rPr>
          <w:b/>
          <w:bCs/>
          <w:sz w:val="32"/>
          <w:szCs w:val="32"/>
          <w:lang w:val="id-ID"/>
        </w:rPr>
        <w:t xml:space="preserve">Supplementation Dose </w:t>
      </w:r>
      <w:r w:rsidR="0071571F" w:rsidRPr="0071571F">
        <w:rPr>
          <w:b/>
          <w:bCs/>
          <w:sz w:val="32"/>
          <w:szCs w:val="32"/>
          <w:lang w:val="id-ID"/>
        </w:rPr>
        <w:t>and Vegetable Intake with Preeclampsia</w:t>
      </w:r>
    </w:p>
    <w:p w:rsidR="005B6F9F" w:rsidRPr="003D5B84" w:rsidRDefault="005B6F9F" w:rsidP="00904D6D">
      <w:pPr>
        <w:jc w:val="center"/>
        <w:rPr>
          <w:b/>
          <w:bCs/>
        </w:rPr>
      </w:pPr>
    </w:p>
    <w:p w:rsidR="00250A66" w:rsidRPr="003D5B84" w:rsidRDefault="00250A66" w:rsidP="00904D6D">
      <w:pPr>
        <w:jc w:val="center"/>
        <w:rPr>
          <w:b/>
          <w:bCs/>
        </w:rPr>
      </w:pPr>
    </w:p>
    <w:p w:rsidR="00904D6D" w:rsidRPr="005B6F9F" w:rsidRDefault="005B6F9F" w:rsidP="005B6F9F">
      <w:pPr>
        <w:jc w:val="center"/>
        <w:rPr>
          <w:b/>
          <w:bCs/>
          <w:lang w:val="id-ID"/>
        </w:rPr>
      </w:pPr>
      <w:r w:rsidRPr="005B6F9F">
        <w:rPr>
          <w:b/>
          <w:bCs/>
          <w:lang w:val="id-ID"/>
        </w:rPr>
        <w:t xml:space="preserve">Laila Fitriani </w:t>
      </w:r>
      <w:r w:rsidR="00E2599A">
        <w:rPr>
          <w:b/>
          <w:bCs/>
        </w:rPr>
        <w:t>*</w:t>
      </w:r>
      <w:r w:rsidR="00E12660" w:rsidRPr="003D5B84">
        <w:rPr>
          <w:b/>
          <w:bCs/>
          <w:lang w:val="id-ID"/>
        </w:rPr>
        <w:t xml:space="preserve">, </w:t>
      </w:r>
      <w:r>
        <w:rPr>
          <w:b/>
          <w:bCs/>
          <w:lang w:val="id-ID"/>
        </w:rPr>
        <w:t xml:space="preserve"> </w:t>
      </w:r>
      <w:r w:rsidRPr="005B6F9F">
        <w:rPr>
          <w:b/>
          <w:bCs/>
          <w:lang w:val="id-ID"/>
        </w:rPr>
        <w:t xml:space="preserve">Ari Probandari </w:t>
      </w:r>
      <w:r w:rsidR="00E2599A">
        <w:rPr>
          <w:b/>
          <w:bCs/>
        </w:rPr>
        <w:t>**</w:t>
      </w:r>
      <w:r w:rsidR="00E12660" w:rsidRPr="003D5B84">
        <w:rPr>
          <w:b/>
          <w:bCs/>
          <w:lang w:val="id-ID"/>
        </w:rPr>
        <w:t xml:space="preserve">, </w:t>
      </w:r>
      <w:r w:rsidRPr="005B6F9F">
        <w:rPr>
          <w:b/>
          <w:bCs/>
          <w:lang w:val="id-ID"/>
        </w:rPr>
        <w:t>Budiyanti Wiboworini</w:t>
      </w:r>
      <w:r w:rsidR="00E56B58">
        <w:rPr>
          <w:b/>
          <w:bCs/>
        </w:rPr>
        <w:t>***</w:t>
      </w:r>
    </w:p>
    <w:p w:rsidR="0071571F" w:rsidRPr="0071571F" w:rsidRDefault="0071571F" w:rsidP="0071571F">
      <w:pPr>
        <w:jc w:val="center"/>
        <w:rPr>
          <w:sz w:val="18"/>
          <w:szCs w:val="18"/>
        </w:rPr>
      </w:pPr>
      <w:r w:rsidRPr="0071571F">
        <w:rPr>
          <w:sz w:val="18"/>
          <w:szCs w:val="18"/>
        </w:rPr>
        <w:t>* Human Nutrition, Nutrition Science, Postgraduate UNS, Surakarta, Indonesia</w:t>
      </w:r>
    </w:p>
    <w:p w:rsidR="0071571F" w:rsidRPr="0071571F" w:rsidRDefault="0071571F" w:rsidP="0071571F">
      <w:pPr>
        <w:jc w:val="center"/>
        <w:rPr>
          <w:sz w:val="18"/>
          <w:szCs w:val="18"/>
        </w:rPr>
      </w:pPr>
      <w:r w:rsidRPr="0071571F">
        <w:rPr>
          <w:sz w:val="18"/>
          <w:szCs w:val="18"/>
        </w:rPr>
        <w:t>** Department of Public Health, Faculty of Medicine, UNS, Surakarta, Indonesia</w:t>
      </w:r>
    </w:p>
    <w:p w:rsidR="00904D6D" w:rsidRDefault="0071571F" w:rsidP="0071571F">
      <w:pPr>
        <w:jc w:val="center"/>
      </w:pPr>
      <w:r w:rsidRPr="0071571F">
        <w:rPr>
          <w:sz w:val="18"/>
          <w:szCs w:val="18"/>
        </w:rPr>
        <w:t>*** Department of Nutrition, Faculty of Medicine, UNS, Surakarta, Indonesia</w:t>
      </w: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681DBA" w:rsidP="00E56B58">
            <w:pPr>
              <w:spacing w:before="120"/>
              <w:rPr>
                <w:color w:val="000000"/>
                <w:sz w:val="24"/>
                <w:szCs w:val="24"/>
              </w:rPr>
            </w:pPr>
            <w:r w:rsidRPr="00681DBA">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w:t>
            </w:r>
          </w:p>
          <w:p w:rsidR="00941203" w:rsidRDefault="00941203" w:rsidP="00957C11">
            <w:pPr>
              <w:jc w:val="both"/>
            </w:pPr>
            <w:r>
              <w:t xml:space="preserve">Revised </w:t>
            </w:r>
          </w:p>
          <w:p w:rsidR="00941203" w:rsidRDefault="00941203" w:rsidP="00957C11">
            <w:pPr>
              <w:jc w:val="both"/>
            </w:pPr>
            <w:r>
              <w:t xml:space="preserve">Accepted </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B8461D" w:rsidP="00581618">
            <w:pPr>
              <w:spacing w:before="120"/>
              <w:jc w:val="both"/>
            </w:pPr>
            <w:r>
              <w:rPr>
                <w:iCs/>
                <w:color w:val="000000"/>
                <w:sz w:val="18"/>
                <w:szCs w:val="18"/>
              </w:rPr>
              <w:t>Background</w:t>
            </w:r>
            <w:r w:rsidR="0071571F" w:rsidRPr="0071571F">
              <w:rPr>
                <w:iCs/>
                <w:color w:val="000000"/>
                <w:sz w:val="18"/>
                <w:szCs w:val="18"/>
              </w:rPr>
              <w:t xml:space="preserve">: Preeclampsia is one of the </w:t>
            </w:r>
            <w:proofErr w:type="gramStart"/>
            <w:r w:rsidR="0071571F" w:rsidRPr="0071571F">
              <w:rPr>
                <w:iCs/>
                <w:color w:val="000000"/>
                <w:sz w:val="18"/>
                <w:szCs w:val="18"/>
              </w:rPr>
              <w:t>cause</w:t>
            </w:r>
            <w:proofErr w:type="gramEnd"/>
            <w:r w:rsidR="0071571F" w:rsidRPr="0071571F">
              <w:rPr>
                <w:iCs/>
                <w:color w:val="000000"/>
                <w:sz w:val="18"/>
                <w:szCs w:val="18"/>
              </w:rPr>
              <w:t xml:space="preserve"> of high maternal mortality rates. Risk factors for preeclampsia include a lack of nutrients such as vitamin A, calcium, sodium and potassium. Calcium intake in pregnant women is not only obtained from calcium supplementation, but also obtained from consumed food</w:t>
            </w:r>
            <w:r w:rsidR="005625DF">
              <w:rPr>
                <w:iCs/>
                <w:color w:val="000000"/>
                <w:sz w:val="18"/>
                <w:szCs w:val="18"/>
              </w:rPr>
              <w:t>s such as vegetables. Objective</w:t>
            </w:r>
            <w:r w:rsidR="0071571F" w:rsidRPr="0071571F">
              <w:rPr>
                <w:iCs/>
                <w:color w:val="000000"/>
                <w:sz w:val="18"/>
                <w:szCs w:val="18"/>
              </w:rPr>
              <w:t>: to analyze</w:t>
            </w:r>
            <w:r w:rsidR="000F3DD9">
              <w:rPr>
                <w:iCs/>
                <w:color w:val="000000"/>
                <w:sz w:val="18"/>
                <w:szCs w:val="18"/>
                <w:lang w:val="id-ID"/>
              </w:rPr>
              <w:t>d</w:t>
            </w:r>
            <w:r w:rsidR="0071571F" w:rsidRPr="0071571F">
              <w:rPr>
                <w:iCs/>
                <w:color w:val="000000"/>
                <w:sz w:val="18"/>
                <w:szCs w:val="18"/>
              </w:rPr>
              <w:t xml:space="preserve"> the relationship </w:t>
            </w:r>
            <w:r w:rsidR="000F3DD9">
              <w:rPr>
                <w:iCs/>
                <w:color w:val="000000"/>
                <w:sz w:val="18"/>
                <w:szCs w:val="18"/>
                <w:lang w:val="id-ID"/>
              </w:rPr>
              <w:t xml:space="preserve">between </w:t>
            </w:r>
            <w:r w:rsidR="0071571F" w:rsidRPr="0071571F">
              <w:rPr>
                <w:iCs/>
                <w:color w:val="000000"/>
                <w:sz w:val="18"/>
                <w:szCs w:val="18"/>
              </w:rPr>
              <w:t>calcium supplementation dose</w:t>
            </w:r>
            <w:r w:rsidR="006E4A06">
              <w:rPr>
                <w:iCs/>
                <w:color w:val="000000"/>
                <w:sz w:val="18"/>
                <w:szCs w:val="18"/>
                <w:lang w:val="id-ID"/>
              </w:rPr>
              <w:t xml:space="preserve"> and</w:t>
            </w:r>
            <w:r w:rsidR="0071571F" w:rsidRPr="0071571F">
              <w:rPr>
                <w:iCs/>
                <w:color w:val="000000"/>
                <w:sz w:val="18"/>
                <w:szCs w:val="18"/>
              </w:rPr>
              <w:t xml:space="preserve"> vegetable intake </w:t>
            </w:r>
            <w:r w:rsidR="000F3DD9">
              <w:rPr>
                <w:iCs/>
                <w:color w:val="000000"/>
                <w:sz w:val="18"/>
                <w:szCs w:val="18"/>
                <w:lang w:val="id-ID"/>
              </w:rPr>
              <w:t xml:space="preserve">with </w:t>
            </w:r>
            <w:r w:rsidR="0071571F" w:rsidRPr="0071571F">
              <w:rPr>
                <w:iCs/>
                <w:color w:val="000000"/>
                <w:sz w:val="18"/>
                <w:szCs w:val="18"/>
              </w:rPr>
              <w:t>preeclamps</w:t>
            </w:r>
            <w:r w:rsidR="00596D6A">
              <w:rPr>
                <w:iCs/>
                <w:color w:val="000000"/>
                <w:sz w:val="18"/>
                <w:szCs w:val="18"/>
              </w:rPr>
              <w:t>ia</w:t>
            </w:r>
            <w:r w:rsidR="005625DF">
              <w:rPr>
                <w:iCs/>
                <w:color w:val="000000"/>
                <w:sz w:val="18"/>
                <w:szCs w:val="18"/>
              </w:rPr>
              <w:t xml:space="preserve"> </w:t>
            </w:r>
            <w:r w:rsidR="000F3DD9" w:rsidRPr="0071571F">
              <w:rPr>
                <w:iCs/>
                <w:color w:val="000000"/>
                <w:sz w:val="18"/>
                <w:szCs w:val="18"/>
              </w:rPr>
              <w:t xml:space="preserve">in third trimester </w:t>
            </w:r>
            <w:r w:rsidR="000F3DD9">
              <w:rPr>
                <w:iCs/>
                <w:color w:val="000000"/>
                <w:sz w:val="18"/>
                <w:szCs w:val="18"/>
                <w:lang w:val="id-ID"/>
              </w:rPr>
              <w:t xml:space="preserve">of </w:t>
            </w:r>
            <w:r w:rsidR="005625DF">
              <w:rPr>
                <w:iCs/>
                <w:color w:val="000000"/>
                <w:sz w:val="18"/>
                <w:szCs w:val="18"/>
              </w:rPr>
              <w:t>pregnant women. Methods</w:t>
            </w:r>
            <w:r w:rsidR="0071571F" w:rsidRPr="0071571F">
              <w:rPr>
                <w:iCs/>
                <w:color w:val="000000"/>
                <w:sz w:val="18"/>
                <w:szCs w:val="18"/>
              </w:rPr>
              <w:t>: observational analytic us</w:t>
            </w:r>
            <w:r w:rsidR="000F3DD9">
              <w:rPr>
                <w:iCs/>
                <w:color w:val="000000"/>
                <w:sz w:val="18"/>
                <w:szCs w:val="18"/>
                <w:lang w:val="id-ID"/>
              </w:rPr>
              <w:t>ed</w:t>
            </w:r>
            <w:r w:rsidR="0071571F" w:rsidRPr="0071571F">
              <w:rPr>
                <w:iCs/>
                <w:color w:val="000000"/>
                <w:sz w:val="18"/>
                <w:szCs w:val="18"/>
              </w:rPr>
              <w:t xml:space="preserve"> a prospective cohort design. A total of 65 third trimester pregnant women participated in the study in Bantul, Yogyakarta. The calcium supplementation dose </w:t>
            </w:r>
            <w:r w:rsidR="000F3DD9">
              <w:rPr>
                <w:iCs/>
                <w:color w:val="000000"/>
                <w:sz w:val="18"/>
                <w:szCs w:val="18"/>
              </w:rPr>
              <w:t>was obtained through interview</w:t>
            </w:r>
            <w:r w:rsidR="0071571F" w:rsidRPr="0071571F">
              <w:rPr>
                <w:iCs/>
                <w:color w:val="000000"/>
                <w:sz w:val="18"/>
                <w:szCs w:val="18"/>
              </w:rPr>
              <w:t xml:space="preserve"> using a questionnaire, while vegetable intake was obtained through </w:t>
            </w:r>
            <w:r w:rsidR="000F3DD9" w:rsidRPr="0071571F">
              <w:rPr>
                <w:iCs/>
                <w:color w:val="000000"/>
                <w:sz w:val="18"/>
                <w:szCs w:val="18"/>
              </w:rPr>
              <w:t xml:space="preserve">the food frequency and </w:t>
            </w:r>
            <w:r w:rsidR="000F3DD9">
              <w:rPr>
                <w:iCs/>
                <w:color w:val="000000"/>
                <w:sz w:val="18"/>
                <w:szCs w:val="18"/>
              </w:rPr>
              <w:t xml:space="preserve">food recall </w:t>
            </w:r>
            <w:r w:rsidR="005625DF">
              <w:rPr>
                <w:iCs/>
                <w:color w:val="000000"/>
                <w:sz w:val="18"/>
                <w:szCs w:val="18"/>
              </w:rPr>
              <w:t>2x24 hours. Results</w:t>
            </w:r>
            <w:r w:rsidR="0071571F" w:rsidRPr="0071571F">
              <w:rPr>
                <w:iCs/>
                <w:color w:val="000000"/>
                <w:sz w:val="18"/>
                <w:szCs w:val="18"/>
              </w:rPr>
              <w:t>: 16 third trimester pregnant women experienced preeclampsia. The mean calci</w:t>
            </w:r>
            <w:r w:rsidR="00CA6D2C">
              <w:rPr>
                <w:iCs/>
                <w:color w:val="000000"/>
                <w:sz w:val="18"/>
                <w:szCs w:val="18"/>
              </w:rPr>
              <w:t xml:space="preserve">um dose consumed per day </w:t>
            </w:r>
            <w:r w:rsidR="000F3DD9">
              <w:rPr>
                <w:iCs/>
                <w:color w:val="000000"/>
                <w:sz w:val="18"/>
                <w:szCs w:val="18"/>
                <w:lang w:val="id-ID"/>
              </w:rPr>
              <w:t>was</w:t>
            </w:r>
            <w:r w:rsidR="00CA6D2C">
              <w:rPr>
                <w:iCs/>
                <w:color w:val="000000"/>
                <w:sz w:val="18"/>
                <w:szCs w:val="18"/>
              </w:rPr>
              <w:t xml:space="preserve"> 476</w:t>
            </w:r>
            <w:r w:rsidR="00CA6D2C">
              <w:rPr>
                <w:iCs/>
                <w:color w:val="000000"/>
                <w:sz w:val="18"/>
                <w:szCs w:val="18"/>
                <w:lang w:val="id-ID"/>
              </w:rPr>
              <w:t>.</w:t>
            </w:r>
            <w:r w:rsidR="0071571F" w:rsidRPr="0071571F">
              <w:rPr>
                <w:iCs/>
                <w:color w:val="000000"/>
                <w:sz w:val="18"/>
                <w:szCs w:val="18"/>
              </w:rPr>
              <w:t>2 mg. The average intake of vegetables pe</w:t>
            </w:r>
            <w:r w:rsidR="00CA6D2C">
              <w:rPr>
                <w:iCs/>
                <w:color w:val="000000"/>
                <w:sz w:val="18"/>
                <w:szCs w:val="18"/>
              </w:rPr>
              <w:t xml:space="preserve">r day for pregnant women </w:t>
            </w:r>
            <w:r w:rsidR="000F3DD9">
              <w:rPr>
                <w:iCs/>
                <w:color w:val="000000"/>
                <w:sz w:val="18"/>
                <w:szCs w:val="18"/>
                <w:lang w:val="id-ID"/>
              </w:rPr>
              <w:t>was</w:t>
            </w:r>
            <w:r w:rsidR="00CA6D2C">
              <w:rPr>
                <w:iCs/>
                <w:color w:val="000000"/>
                <w:sz w:val="18"/>
                <w:szCs w:val="18"/>
              </w:rPr>
              <w:t xml:space="preserve"> 250</w:t>
            </w:r>
            <w:r w:rsidR="00CA6D2C">
              <w:rPr>
                <w:iCs/>
                <w:color w:val="000000"/>
                <w:sz w:val="18"/>
                <w:szCs w:val="18"/>
                <w:lang w:val="id-ID"/>
              </w:rPr>
              <w:t>.</w:t>
            </w:r>
            <w:r w:rsidR="0071571F" w:rsidRPr="0071571F">
              <w:rPr>
                <w:iCs/>
                <w:color w:val="000000"/>
                <w:sz w:val="18"/>
                <w:szCs w:val="18"/>
              </w:rPr>
              <w:t xml:space="preserve">9 gr. Kaplan-Mier with the log rank method states that there </w:t>
            </w:r>
            <w:r w:rsidR="000F3DD9">
              <w:rPr>
                <w:iCs/>
                <w:color w:val="000000"/>
                <w:sz w:val="18"/>
                <w:szCs w:val="18"/>
                <w:lang w:val="id-ID"/>
              </w:rPr>
              <w:t>was</w:t>
            </w:r>
            <w:r w:rsidR="0071571F" w:rsidRPr="0071571F">
              <w:rPr>
                <w:iCs/>
                <w:color w:val="000000"/>
                <w:sz w:val="18"/>
                <w:szCs w:val="18"/>
              </w:rPr>
              <w:t xml:space="preserve"> a significant difference between calcium</w:t>
            </w:r>
            <w:r w:rsidR="00CA6D2C">
              <w:rPr>
                <w:iCs/>
                <w:color w:val="000000"/>
                <w:sz w:val="18"/>
                <w:szCs w:val="18"/>
              </w:rPr>
              <w:t xml:space="preserve"> supplementation dose (p=0</w:t>
            </w:r>
            <w:r w:rsidR="00CA6D2C">
              <w:rPr>
                <w:iCs/>
                <w:color w:val="000000"/>
                <w:sz w:val="18"/>
                <w:szCs w:val="18"/>
                <w:lang w:val="id-ID"/>
              </w:rPr>
              <w:t>.</w:t>
            </w:r>
            <w:r w:rsidR="0071571F">
              <w:rPr>
                <w:iCs/>
                <w:color w:val="000000"/>
                <w:sz w:val="18"/>
                <w:szCs w:val="18"/>
              </w:rPr>
              <w:t>00</w:t>
            </w:r>
            <w:r w:rsidR="0071571F" w:rsidRPr="0071571F">
              <w:rPr>
                <w:iCs/>
                <w:color w:val="000000"/>
                <w:sz w:val="18"/>
                <w:szCs w:val="18"/>
              </w:rPr>
              <w:t xml:space="preserve">7) and preeclampsia. There </w:t>
            </w:r>
            <w:r w:rsidR="000F3DD9">
              <w:rPr>
                <w:iCs/>
                <w:color w:val="000000"/>
                <w:sz w:val="18"/>
                <w:szCs w:val="18"/>
                <w:lang w:val="id-ID"/>
              </w:rPr>
              <w:t>was</w:t>
            </w:r>
            <w:r w:rsidR="0071571F" w:rsidRPr="0071571F">
              <w:rPr>
                <w:iCs/>
                <w:color w:val="000000"/>
                <w:sz w:val="18"/>
                <w:szCs w:val="18"/>
              </w:rPr>
              <w:t xml:space="preserve"> a significant differe</w:t>
            </w:r>
            <w:r w:rsidR="0071571F">
              <w:rPr>
                <w:iCs/>
                <w:color w:val="000000"/>
                <w:sz w:val="18"/>
                <w:szCs w:val="18"/>
              </w:rPr>
              <w:t>nce be</w:t>
            </w:r>
            <w:r w:rsidR="00CA6D2C">
              <w:rPr>
                <w:iCs/>
                <w:color w:val="000000"/>
                <w:sz w:val="18"/>
                <w:szCs w:val="18"/>
              </w:rPr>
              <w:t>tween vegetable intake (p=0</w:t>
            </w:r>
            <w:r w:rsidR="00CA6D2C">
              <w:rPr>
                <w:iCs/>
                <w:color w:val="000000"/>
                <w:sz w:val="18"/>
                <w:szCs w:val="18"/>
                <w:lang w:val="id-ID"/>
              </w:rPr>
              <w:t>.</w:t>
            </w:r>
            <w:r w:rsidR="0071571F" w:rsidRPr="0071571F">
              <w:rPr>
                <w:iCs/>
                <w:color w:val="000000"/>
                <w:sz w:val="18"/>
                <w:szCs w:val="18"/>
              </w:rPr>
              <w:t xml:space="preserve">007) and preeclampsia. Conclusion: there </w:t>
            </w:r>
            <w:r w:rsidR="000F3DD9">
              <w:rPr>
                <w:iCs/>
                <w:color w:val="000000"/>
                <w:sz w:val="18"/>
                <w:szCs w:val="18"/>
                <w:lang w:val="id-ID"/>
              </w:rPr>
              <w:t>was</w:t>
            </w:r>
            <w:r w:rsidR="0071571F" w:rsidRPr="0071571F">
              <w:rPr>
                <w:iCs/>
                <w:color w:val="000000"/>
                <w:sz w:val="18"/>
                <w:szCs w:val="18"/>
              </w:rPr>
              <w:t xml:space="preserve"> a significant relationship between calcium supplementation dose and vegetable intake with preeclampsia in third trimester pregnant women.</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681DBA" w:rsidRDefault="00681DBA" w:rsidP="00681DBA">
            <w:pPr>
              <w:jc w:val="both"/>
              <w:rPr>
                <w:lang w:val="id-ID"/>
              </w:rPr>
            </w:pPr>
            <w:r>
              <w:t>Calcium dose</w:t>
            </w:r>
          </w:p>
          <w:p w:rsidR="000F3DD9" w:rsidRPr="000F3DD9" w:rsidRDefault="000F3DD9" w:rsidP="00681DBA">
            <w:pPr>
              <w:jc w:val="both"/>
              <w:rPr>
                <w:lang w:val="id-ID"/>
              </w:rPr>
            </w:pPr>
            <w:r>
              <w:t>Calcium supplementation</w:t>
            </w:r>
          </w:p>
          <w:p w:rsidR="000F3DD9" w:rsidRDefault="00681DBA" w:rsidP="00681DBA">
            <w:pPr>
              <w:jc w:val="both"/>
            </w:pPr>
            <w:r>
              <w:t>Preeclampsia</w:t>
            </w:r>
          </w:p>
          <w:p w:rsidR="000F3DD9" w:rsidRDefault="000F3DD9" w:rsidP="000F3DD9">
            <w:r w:rsidRPr="0071571F">
              <w:rPr>
                <w:iCs/>
                <w:color w:val="000000"/>
                <w:sz w:val="18"/>
                <w:szCs w:val="18"/>
              </w:rPr>
              <w:t>Third trimester</w:t>
            </w:r>
          </w:p>
          <w:p w:rsidR="00941203" w:rsidRPr="000F3DD9" w:rsidRDefault="000F3DD9" w:rsidP="000F3DD9">
            <w:r>
              <w:t>Vegetable intake</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D41FDA"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Pr="0021197D" w:rsidRDefault="0021197D" w:rsidP="007F286F">
            <w:pPr>
              <w:rPr>
                <w:lang w:val="id-ID"/>
              </w:rPr>
            </w:pPr>
            <w:r>
              <w:rPr>
                <w:lang w:val="id-ID"/>
              </w:rPr>
              <w:t>Laila Fitriani</w:t>
            </w:r>
          </w:p>
          <w:p w:rsidR="0021197D" w:rsidRDefault="0021197D" w:rsidP="007F286F">
            <w:pPr>
              <w:rPr>
                <w:lang w:val="id-ID"/>
              </w:rPr>
            </w:pPr>
            <w:r w:rsidRPr="0071571F">
              <w:rPr>
                <w:sz w:val="18"/>
                <w:szCs w:val="18"/>
              </w:rPr>
              <w:t>Human Nutrition, Nutrition Science</w:t>
            </w:r>
            <w:r>
              <w:t xml:space="preserve"> </w:t>
            </w:r>
          </w:p>
          <w:p w:rsidR="007F286F" w:rsidRDefault="00A803D1" w:rsidP="007F286F">
            <w:r>
              <w:rPr>
                <w:lang w:val="id-ID"/>
              </w:rPr>
              <w:t xml:space="preserve">Master Program of </w:t>
            </w:r>
            <w:r w:rsidR="0021197D">
              <w:rPr>
                <w:lang w:val="id-ID"/>
              </w:rPr>
              <w:t>Sebelas Maret</w:t>
            </w:r>
            <w:r w:rsidR="007F286F">
              <w:t xml:space="preserve"> University</w:t>
            </w:r>
            <w:r w:rsidR="00941203">
              <w:t>,</w:t>
            </w:r>
          </w:p>
          <w:p w:rsidR="007F286F" w:rsidRPr="00A803D1" w:rsidRDefault="00A803D1" w:rsidP="007F286F">
            <w:pPr>
              <w:rPr>
                <w:lang w:val="id-ID"/>
              </w:rPr>
            </w:pPr>
            <w:r>
              <w:rPr>
                <w:lang w:val="id-ID"/>
              </w:rPr>
              <w:t>Jl. Ir. Sutami No.36A Surakarta, Central Java 57126, Indonesia</w:t>
            </w:r>
          </w:p>
          <w:p w:rsidR="00941203" w:rsidRPr="00957C11" w:rsidRDefault="00941203" w:rsidP="00A803D1">
            <w:pPr>
              <w:spacing w:after="120"/>
              <w:rPr>
                <w:color w:val="000000"/>
                <w:sz w:val="18"/>
                <w:szCs w:val="18"/>
              </w:rPr>
            </w:pPr>
            <w:r>
              <w:t xml:space="preserve">Email: </w:t>
            </w:r>
            <w:hyperlink r:id="rId9" w:history="1">
              <w:r w:rsidR="00985738" w:rsidRPr="000B23BA">
                <w:rPr>
                  <w:rStyle w:val="Hyperlink"/>
                  <w:lang w:val="id-ID"/>
                </w:rPr>
                <w:t>laila_fitriani89@yahoo.com</w:t>
              </w:r>
            </w:hyperlink>
          </w:p>
        </w:tc>
      </w:tr>
    </w:tbl>
    <w:p w:rsidR="00957C11" w:rsidRDefault="00957C11" w:rsidP="00957C11">
      <w:pPr>
        <w:jc w:val="both"/>
      </w:pPr>
    </w:p>
    <w:p w:rsidR="00C07BEF" w:rsidRPr="00957C11" w:rsidRDefault="00C07BEF" w:rsidP="00957C11">
      <w:pPr>
        <w:jc w:val="both"/>
      </w:pPr>
    </w:p>
    <w:p w:rsidR="00FE43A3" w:rsidRPr="00FE43A3" w:rsidRDefault="00FE43A3" w:rsidP="00FE43A3">
      <w:pPr>
        <w:pStyle w:val="ListParagraph"/>
        <w:numPr>
          <w:ilvl w:val="0"/>
          <w:numId w:val="19"/>
        </w:numPr>
        <w:spacing w:after="0"/>
        <w:ind w:left="426" w:hanging="426"/>
        <w:jc w:val="both"/>
        <w:rPr>
          <w:rFonts w:ascii="Times New Roman" w:hAnsi="Times New Roman"/>
          <w:b/>
          <w:bCs/>
          <w:lang w:val="en-ID"/>
        </w:rPr>
      </w:pPr>
      <w:r w:rsidRPr="00FE43A3">
        <w:rPr>
          <w:rFonts w:ascii="Times New Roman" w:hAnsi="Times New Roman"/>
          <w:b/>
          <w:bCs/>
          <w:lang w:val="id-ID"/>
        </w:rPr>
        <w:t xml:space="preserve">INTRODUCTION </w:t>
      </w:r>
    </w:p>
    <w:p w:rsidR="0071571F" w:rsidRPr="0071571F" w:rsidRDefault="0071571F" w:rsidP="00FE43A3">
      <w:pPr>
        <w:ind w:firstLine="720"/>
        <w:jc w:val="both"/>
        <w:rPr>
          <w:lang w:val="id-ID"/>
        </w:rPr>
      </w:pPr>
      <w:r w:rsidRPr="0071571F">
        <w:rPr>
          <w:lang w:val="id-ID"/>
        </w:rPr>
        <w:t>Preeclampsia is a progressive multisystem disorder characterized by the appearance of hypertension and proteinuria, or hypertension and organ dysfunction without proteinuria that occurs at more than 20 weeks of gestation. Preeclampsia can cause organ dysfunction and disease in both the mother and fetus. Severe preeclampsia in pregnant women can cause an increased risk of diastolic dysfunction and peripartum pulmonary edema and can subsequently cause an increased risk of cardiovascular disease [1]. In the fetus with preeclampsia mother, it can cause fetal development disorders and associated with an increased risk of bronchop</w:t>
      </w:r>
      <w:r w:rsidR="0035591D">
        <w:rPr>
          <w:lang w:val="id-ID"/>
        </w:rPr>
        <w:t>ulmonary dysplasia in infants [2</w:t>
      </w:r>
      <w:r w:rsidR="006E4A06">
        <w:rPr>
          <w:lang w:val="id-ID"/>
        </w:rPr>
        <w:t>]</w:t>
      </w:r>
      <w:r w:rsidRPr="0071571F">
        <w:rPr>
          <w:lang w:val="id-ID"/>
        </w:rPr>
        <w:t>.</w:t>
      </w:r>
    </w:p>
    <w:p w:rsidR="0071571F" w:rsidRPr="0071571F" w:rsidRDefault="0071571F" w:rsidP="0035591D">
      <w:pPr>
        <w:ind w:firstLine="720"/>
        <w:jc w:val="both"/>
        <w:rPr>
          <w:lang w:val="id-ID"/>
        </w:rPr>
      </w:pPr>
      <w:r w:rsidRPr="0071571F">
        <w:rPr>
          <w:lang w:val="id-ID"/>
        </w:rPr>
        <w:t>Based on the health profile of Bantul Regency, Yogyakarta, the Maternal Mort</w:t>
      </w:r>
      <w:r w:rsidR="0033222B">
        <w:rPr>
          <w:lang w:val="id-ID"/>
        </w:rPr>
        <w:t>ality Rate (MMR) in 2017 was 72</w:t>
      </w:r>
      <w:r w:rsidR="0033222B">
        <w:rPr>
          <w:lang w:val="en-ID"/>
        </w:rPr>
        <w:t>,</w:t>
      </w:r>
      <w:r w:rsidRPr="0071571F">
        <w:rPr>
          <w:lang w:val="id-ID"/>
        </w:rPr>
        <w:t xml:space="preserve">85/100,000 live births, 9 cases and 2 of them caused by preeclampsia [3]. The cause of preeclampsia is not clearly known and influenced by several factors. Some studies show that preeclampsia is caused by an increase in oxidative stress. Research by Cohen </w:t>
      </w:r>
      <w:r w:rsidRPr="0033222B">
        <w:rPr>
          <w:i/>
          <w:lang w:val="id-ID"/>
        </w:rPr>
        <w:t>et al</w:t>
      </w:r>
      <w:r w:rsidRPr="0071571F">
        <w:rPr>
          <w:lang w:val="id-ID"/>
        </w:rPr>
        <w:t>. (2015) proves that there is a significant relationship between nutrient intake and antioxidant status in mother</w:t>
      </w:r>
      <w:r w:rsidR="0035591D">
        <w:rPr>
          <w:lang w:val="id-ID"/>
        </w:rPr>
        <w:t>s suffering from preeclampsia [4</w:t>
      </w:r>
      <w:r w:rsidRPr="0071571F">
        <w:rPr>
          <w:lang w:val="id-ID"/>
        </w:rPr>
        <w:t>] .</w:t>
      </w:r>
    </w:p>
    <w:p w:rsidR="0071571F" w:rsidRPr="0071571F" w:rsidRDefault="0071571F" w:rsidP="0035591D">
      <w:pPr>
        <w:ind w:firstLine="720"/>
        <w:jc w:val="both"/>
        <w:rPr>
          <w:lang w:val="id-ID"/>
        </w:rPr>
      </w:pPr>
      <w:r w:rsidRPr="0071571F">
        <w:rPr>
          <w:lang w:val="id-ID"/>
        </w:rPr>
        <w:lastRenderedPageBreak/>
        <w:t>Intake of certain nutrients is known to be associated with preeclampsia such as vitamin A, calcium, sodium, and potassium. Micronutrients such as vitamin A can trigger oxidative stress and subsequently contribute to inflammation through cell-mediated Nuclear Factor-Kappa B (NF-κB-) path</w:t>
      </w:r>
      <w:r w:rsidR="0035591D">
        <w:rPr>
          <w:lang w:val="id-ID"/>
        </w:rPr>
        <w:t>way and produce free radicals [</w:t>
      </w:r>
      <w:r w:rsidR="0033222B">
        <w:rPr>
          <w:lang w:val="id-ID"/>
        </w:rPr>
        <w:t>5</w:t>
      </w:r>
      <w:r w:rsidRPr="0071571F">
        <w:rPr>
          <w:lang w:val="id-ID"/>
        </w:rPr>
        <w:t>] . Sources of vitamins and minerals can be obtained from vegetables intake in daily food consumption.</w:t>
      </w:r>
    </w:p>
    <w:p w:rsidR="0010046E" w:rsidRPr="003D5B84" w:rsidRDefault="0071571F" w:rsidP="00FE43A3">
      <w:pPr>
        <w:spacing w:after="240"/>
        <w:ind w:firstLine="720"/>
        <w:jc w:val="both"/>
      </w:pPr>
      <w:r w:rsidRPr="0071571F">
        <w:rPr>
          <w:lang w:val="id-ID"/>
        </w:rPr>
        <w:t xml:space="preserve">WHO recommends taking </w:t>
      </w:r>
      <w:r w:rsidR="00CA6D2C">
        <w:rPr>
          <w:lang w:val="en-ID"/>
        </w:rPr>
        <w:t>1</w:t>
      </w:r>
      <w:r w:rsidR="00CA6D2C">
        <w:rPr>
          <w:lang w:val="id-ID"/>
        </w:rPr>
        <w:t>.</w:t>
      </w:r>
      <w:r w:rsidRPr="0071571F">
        <w:rPr>
          <w:lang w:val="id-ID"/>
        </w:rPr>
        <w:t>5 - 2 gr/day calcium supplements to meet daily requirement of calcium intake needed from food. Calcium supplementation can work well if used regularly by the pregnant women. Previous research has not examined much about the relationship between the ideal dose of calcium supplementation in order to prevent the occurrence of preeclampsia. Therefore, this study aims to analyse the relationship between calcium supplementation dose and vegetable intake with the incidence of preeclampsia in third trimester pregnant women.</w:t>
      </w:r>
    </w:p>
    <w:p w:rsidR="00FE43A3" w:rsidRPr="00FE43A3" w:rsidRDefault="00FE43A3" w:rsidP="00FE43A3">
      <w:pPr>
        <w:pStyle w:val="ListParagraph"/>
        <w:numPr>
          <w:ilvl w:val="0"/>
          <w:numId w:val="19"/>
        </w:numPr>
        <w:spacing w:after="0"/>
        <w:ind w:left="426" w:hanging="426"/>
        <w:jc w:val="both"/>
        <w:rPr>
          <w:rFonts w:ascii="Times New Roman" w:hAnsi="Times New Roman"/>
          <w:b/>
          <w:bCs/>
          <w:lang w:val="en-ID"/>
        </w:rPr>
      </w:pPr>
      <w:r w:rsidRPr="00FE43A3">
        <w:rPr>
          <w:rFonts w:ascii="Times New Roman" w:hAnsi="Times New Roman"/>
          <w:b/>
          <w:bCs/>
          <w:lang w:val="id-ID"/>
        </w:rPr>
        <w:t xml:space="preserve">RESEARCH METHODS </w:t>
      </w:r>
    </w:p>
    <w:p w:rsidR="0035591D" w:rsidRPr="0035591D" w:rsidRDefault="0035591D" w:rsidP="0035591D">
      <w:pPr>
        <w:ind w:firstLine="709"/>
        <w:jc w:val="both"/>
        <w:rPr>
          <w:lang w:val="id-ID"/>
        </w:rPr>
      </w:pPr>
      <w:r w:rsidRPr="0035591D">
        <w:rPr>
          <w:lang w:val="id-ID"/>
        </w:rPr>
        <w:t>This research was an observational analytic, using a prospective cohort design. The study was carried out during July - September 2018 in the Bantul district health center in Yogyakarta. The sample was collected using simple random sampling technique by randomize third trimester pregnant women to take 5 pregnant women in each puskesmas. Inclusion criteria in this study included: age 20-35 years, routine</w:t>
      </w:r>
      <w:r w:rsidR="006D335A">
        <w:rPr>
          <w:lang w:val="id-ID"/>
        </w:rPr>
        <w:t xml:space="preserve"> antenatal care</w:t>
      </w:r>
      <w:r w:rsidRPr="0035591D">
        <w:rPr>
          <w:lang w:val="id-ID"/>
        </w:rPr>
        <w:t xml:space="preserve"> </w:t>
      </w:r>
      <w:r w:rsidR="006D335A">
        <w:rPr>
          <w:lang w:val="id-ID"/>
        </w:rPr>
        <w:t>(</w:t>
      </w:r>
      <w:r w:rsidRPr="0035591D">
        <w:rPr>
          <w:lang w:val="id-ID"/>
        </w:rPr>
        <w:t>ANC</w:t>
      </w:r>
      <w:r w:rsidR="006D335A">
        <w:rPr>
          <w:lang w:val="id-ID"/>
        </w:rPr>
        <w:t>)</w:t>
      </w:r>
      <w:r w:rsidRPr="0035591D">
        <w:rPr>
          <w:lang w:val="id-ID"/>
        </w:rPr>
        <w:t xml:space="preserve"> in the third trimester. Exclusion criteria: having a history of diabetes mellitus, hypertension, preeclampsia, and obesity.</w:t>
      </w:r>
    </w:p>
    <w:p w:rsidR="0035591D" w:rsidRPr="0035591D" w:rsidRDefault="0035591D" w:rsidP="0035591D">
      <w:pPr>
        <w:ind w:firstLine="709"/>
        <w:jc w:val="both"/>
        <w:rPr>
          <w:lang w:val="id-ID"/>
        </w:rPr>
      </w:pPr>
      <w:r w:rsidRPr="0035591D">
        <w:rPr>
          <w:lang w:val="id-ID"/>
        </w:rPr>
        <w:t xml:space="preserve">Sociodemographic data </w:t>
      </w:r>
      <w:r w:rsidR="00C82B93">
        <w:rPr>
          <w:lang w:val="id-ID"/>
        </w:rPr>
        <w:t>were</w:t>
      </w:r>
      <w:r w:rsidRPr="0035591D">
        <w:rPr>
          <w:lang w:val="id-ID"/>
        </w:rPr>
        <w:t xml:space="preserve"> obtained using questionnaires which filled by respondents. Sociodemographic data obtained from respondents were age, parity, employment, and education status of pregnant women. Data on </w:t>
      </w:r>
      <w:r w:rsidR="00C82B93">
        <w:rPr>
          <w:lang w:val="id-ID"/>
        </w:rPr>
        <w:t>calcium supplementation included</w:t>
      </w:r>
      <w:r w:rsidRPr="0035591D">
        <w:rPr>
          <w:lang w:val="id-ID"/>
        </w:rPr>
        <w:t xml:space="preserve"> adher</w:t>
      </w:r>
      <w:r w:rsidR="00C82B93">
        <w:rPr>
          <w:lang w:val="id-ID"/>
        </w:rPr>
        <w:t>ence of pregnant women to take</w:t>
      </w:r>
      <w:r w:rsidRPr="0035591D">
        <w:rPr>
          <w:lang w:val="id-ID"/>
        </w:rPr>
        <w:t xml:space="preserve"> calcium supplements. Data was obtained through interviews and through filling a questionnaire containing questions that have been tested for validity and reliability. The results of the validity test state</w:t>
      </w:r>
      <w:r w:rsidR="00C82B93">
        <w:rPr>
          <w:lang w:val="id-ID"/>
        </w:rPr>
        <w:t>d</w:t>
      </w:r>
      <w:r w:rsidRPr="0035591D">
        <w:rPr>
          <w:lang w:val="id-ID"/>
        </w:rPr>
        <w:t xml:space="preserve"> that all question items in the questionnaire on each variable </w:t>
      </w:r>
      <w:r w:rsidR="00C82B93">
        <w:rPr>
          <w:lang w:val="id-ID"/>
        </w:rPr>
        <w:t xml:space="preserve">were </w:t>
      </w:r>
      <w:r w:rsidRPr="0035591D">
        <w:rPr>
          <w:lang w:val="id-ID"/>
        </w:rPr>
        <w:t xml:space="preserve">valid (r </w:t>
      </w:r>
      <w:r w:rsidRPr="0035591D">
        <w:rPr>
          <w:sz w:val="16"/>
          <w:lang w:val="id-ID"/>
        </w:rPr>
        <w:t>count</w:t>
      </w:r>
      <w:r w:rsidR="0014237F">
        <w:rPr>
          <w:lang w:val="id-ID"/>
        </w:rPr>
        <w:t>&gt; 0</w:t>
      </w:r>
      <w:r w:rsidR="00CA6D2C">
        <w:rPr>
          <w:lang w:val="id-ID"/>
        </w:rPr>
        <w:t>.</w:t>
      </w:r>
      <w:r w:rsidRPr="0035591D">
        <w:rPr>
          <w:lang w:val="id-ID"/>
        </w:rPr>
        <w:t>33) and reliable (r</w:t>
      </w:r>
      <w:r w:rsidRPr="0035591D">
        <w:rPr>
          <w:sz w:val="12"/>
          <w:lang w:val="id-ID"/>
        </w:rPr>
        <w:t>CronbachAlpha</w:t>
      </w:r>
      <w:r w:rsidR="0014237F">
        <w:rPr>
          <w:lang w:val="id-ID"/>
        </w:rPr>
        <w:t>&gt;0</w:t>
      </w:r>
      <w:r w:rsidR="00CA6D2C">
        <w:rPr>
          <w:lang w:val="id-ID"/>
        </w:rPr>
        <w:t>.</w:t>
      </w:r>
      <w:r w:rsidR="00C82B93">
        <w:rPr>
          <w:lang w:val="id-ID"/>
        </w:rPr>
        <w:t>6)</w:t>
      </w:r>
      <w:r w:rsidRPr="0035591D">
        <w:rPr>
          <w:lang w:val="id-ID"/>
        </w:rPr>
        <w:t>. Vegetable intake was obtained through interviews with enumerators by using a 2x24 hour food frequency and food recall q</w:t>
      </w:r>
      <w:r w:rsidR="00C82B93">
        <w:rPr>
          <w:lang w:val="id-ID"/>
        </w:rPr>
        <w:t>uestionnaire. Vegetable intake was</w:t>
      </w:r>
      <w:r w:rsidRPr="0035591D">
        <w:rPr>
          <w:lang w:val="id-ID"/>
        </w:rPr>
        <w:t xml:space="preserve"> then categorized into 2, </w:t>
      </w:r>
      <w:r w:rsidR="00C82B93">
        <w:rPr>
          <w:lang w:val="id-ID"/>
        </w:rPr>
        <w:t>which was</w:t>
      </w:r>
      <w:r w:rsidR="0033222B">
        <w:rPr>
          <w:lang w:val="id-ID"/>
        </w:rPr>
        <w:t xml:space="preserve"> sufficient (≥250 gr/day) and less </w:t>
      </w:r>
      <w:r w:rsidR="0033222B">
        <w:rPr>
          <w:lang w:val="en-ID"/>
        </w:rPr>
        <w:t>(</w:t>
      </w:r>
      <w:r w:rsidR="0033222B">
        <w:rPr>
          <w:lang w:val="id-ID"/>
        </w:rPr>
        <w:t>&lt;250 gr/</w:t>
      </w:r>
      <w:r w:rsidRPr="0035591D">
        <w:rPr>
          <w:lang w:val="id-ID"/>
        </w:rPr>
        <w:t xml:space="preserve">day). Examination and assessment of the signs of preeclampsia </w:t>
      </w:r>
      <w:r w:rsidR="00C82B93">
        <w:rPr>
          <w:lang w:val="id-ID"/>
        </w:rPr>
        <w:t xml:space="preserve">were </w:t>
      </w:r>
      <w:r w:rsidRPr="0035591D">
        <w:rPr>
          <w:lang w:val="id-ID"/>
        </w:rPr>
        <w:t xml:space="preserve">carried out by experts who include blood pressure, facial and extremities edema, and urine protein from the KIA </w:t>
      </w:r>
      <w:r w:rsidR="00C82B93">
        <w:rPr>
          <w:lang w:val="id-ID"/>
        </w:rPr>
        <w:t xml:space="preserve">(maternal and children health) </w:t>
      </w:r>
      <w:r w:rsidRPr="0035591D">
        <w:rPr>
          <w:lang w:val="id-ID"/>
        </w:rPr>
        <w:t>books classified acco</w:t>
      </w:r>
      <w:r w:rsidR="0033222B">
        <w:rPr>
          <w:lang w:val="id-ID"/>
        </w:rPr>
        <w:t>rding to the midwifery book [6</w:t>
      </w:r>
      <w:r w:rsidRPr="0035591D">
        <w:rPr>
          <w:lang w:val="id-ID"/>
        </w:rPr>
        <w:t>] .</w:t>
      </w:r>
    </w:p>
    <w:p w:rsidR="00091C52" w:rsidRPr="0021197D" w:rsidRDefault="0035591D" w:rsidP="0021197D">
      <w:pPr>
        <w:ind w:firstLine="709"/>
        <w:jc w:val="both"/>
        <w:rPr>
          <w:lang w:val="en-ID"/>
        </w:rPr>
      </w:pPr>
      <w:r w:rsidRPr="0035591D">
        <w:rPr>
          <w:lang w:val="id-ID"/>
        </w:rPr>
        <w:t xml:space="preserve">Categorical variables </w:t>
      </w:r>
      <w:r w:rsidR="00C82B93">
        <w:rPr>
          <w:lang w:val="id-ID"/>
        </w:rPr>
        <w:t>were</w:t>
      </w:r>
      <w:r w:rsidRPr="0035591D">
        <w:rPr>
          <w:lang w:val="id-ID"/>
        </w:rPr>
        <w:t xml:space="preserve"> showed as frequency and percentage, while continuous variables are showed as mean±SD. Bivariate analysis with the Kaplan-Mier test was conducted to examine the relationship between each independent variable with the incidence of preeclampsia. Multivariate analysis by using Cox regression test was used to determine the most influential variables and find the value of hazard ratio. Proportional hazard assumption test was carried out before the multivariate test. The sign</w:t>
      </w:r>
      <w:r w:rsidR="0014237F">
        <w:rPr>
          <w:lang w:val="id-ID"/>
        </w:rPr>
        <w:t xml:space="preserve">ificant statistic value </w:t>
      </w:r>
      <w:r w:rsidR="00C82B93">
        <w:rPr>
          <w:lang w:val="id-ID"/>
        </w:rPr>
        <w:t>was</w:t>
      </w:r>
      <w:r w:rsidR="00B95409">
        <w:rPr>
          <w:lang w:val="id-ID"/>
        </w:rPr>
        <w:t xml:space="preserve"> p</w:t>
      </w:r>
      <w:r w:rsidR="0014237F">
        <w:rPr>
          <w:lang w:val="id-ID"/>
        </w:rPr>
        <w:t>&lt;0</w:t>
      </w:r>
      <w:r w:rsidR="00CA6D2C">
        <w:rPr>
          <w:lang w:val="id-ID"/>
        </w:rPr>
        <w:t>.</w:t>
      </w:r>
      <w:r w:rsidRPr="0035591D">
        <w:rPr>
          <w:lang w:val="id-ID"/>
        </w:rPr>
        <w:t>05.</w:t>
      </w:r>
      <w:r w:rsidR="0021197D">
        <w:rPr>
          <w:lang w:val="id-ID"/>
        </w:rPr>
        <w:t xml:space="preserve"> </w:t>
      </w:r>
      <w:r w:rsidR="00091C52">
        <w:t xml:space="preserve">Ethical approval and clearance was obtained from </w:t>
      </w:r>
      <w:r w:rsidR="00591FC7">
        <w:rPr>
          <w:lang w:val="id-ID"/>
        </w:rPr>
        <w:t>the health research</w:t>
      </w:r>
      <w:r w:rsidR="0021197D">
        <w:rPr>
          <w:lang w:val="id-ID"/>
        </w:rPr>
        <w:t xml:space="preserve"> ethics committee of faculty of medicine, Sebelas Maret</w:t>
      </w:r>
      <w:r w:rsidR="0021197D">
        <w:t xml:space="preserve"> University</w:t>
      </w:r>
      <w:r w:rsidR="0021197D">
        <w:rPr>
          <w:lang w:val="id-ID"/>
        </w:rPr>
        <w:t>.</w:t>
      </w:r>
      <w:r w:rsidR="00091C52">
        <w:t xml:space="preserve"> Informed consent was obtained from each individuals and confidentiality was kept.</w:t>
      </w:r>
    </w:p>
    <w:p w:rsidR="00B07DF0" w:rsidRPr="003D5B84" w:rsidRDefault="00B07DF0" w:rsidP="0035591D">
      <w:pPr>
        <w:ind w:firstLine="709"/>
        <w:jc w:val="both"/>
        <w:rPr>
          <w:b/>
          <w:bCs/>
        </w:rPr>
      </w:pPr>
    </w:p>
    <w:p w:rsidR="00FE43A3" w:rsidRPr="00FE43A3" w:rsidRDefault="00FE43A3" w:rsidP="00FE43A3">
      <w:pPr>
        <w:spacing w:after="240"/>
        <w:jc w:val="both"/>
        <w:rPr>
          <w:b/>
          <w:bCs/>
          <w:lang w:val="id-ID"/>
        </w:rPr>
      </w:pPr>
      <w:r>
        <w:rPr>
          <w:b/>
          <w:bCs/>
          <w:lang w:val="id-ID"/>
        </w:rPr>
        <w:t xml:space="preserve">3.     </w:t>
      </w:r>
      <w:r w:rsidRPr="00FE43A3">
        <w:rPr>
          <w:b/>
          <w:bCs/>
          <w:lang w:val="id-ID"/>
        </w:rPr>
        <w:t>RESULTS AND ANALYSIS</w:t>
      </w:r>
    </w:p>
    <w:p w:rsidR="00FE43A3" w:rsidRDefault="00FE43A3" w:rsidP="00FE43A3">
      <w:pPr>
        <w:jc w:val="both"/>
        <w:rPr>
          <w:b/>
          <w:bCs/>
          <w:lang w:val="en-ID"/>
        </w:rPr>
      </w:pPr>
      <w:r w:rsidRPr="00FE43A3">
        <w:rPr>
          <w:b/>
          <w:bCs/>
          <w:lang w:val="id-ID"/>
        </w:rPr>
        <w:t xml:space="preserve"> 3.1. Characteristics of </w:t>
      </w:r>
      <w:r w:rsidR="00C82B93" w:rsidRPr="00FE43A3">
        <w:rPr>
          <w:b/>
          <w:bCs/>
          <w:lang w:val="id-ID"/>
        </w:rPr>
        <w:t>Pregnant Women</w:t>
      </w:r>
    </w:p>
    <w:p w:rsidR="0047059A" w:rsidRDefault="0035591D" w:rsidP="00FE43A3">
      <w:pPr>
        <w:ind w:firstLine="720"/>
        <w:jc w:val="both"/>
      </w:pPr>
      <w:r w:rsidRPr="0035591D">
        <w:t>The characteristics of pregnant women are shown in Table 1. The study subjects are third trimester pregnant women with range of age 20-35 years. The average age of third</w:t>
      </w:r>
      <w:r w:rsidR="00985738">
        <w:t xml:space="preserve"> trimester pregnant women is 26</w:t>
      </w:r>
      <w:r w:rsidR="00985738">
        <w:rPr>
          <w:lang w:val="id-ID"/>
        </w:rPr>
        <w:t>.</w:t>
      </w:r>
      <w:r w:rsidR="00985738">
        <w:t>3 ± 3</w:t>
      </w:r>
      <w:r w:rsidR="00985738">
        <w:rPr>
          <w:lang w:val="id-ID"/>
        </w:rPr>
        <w:t>.</w:t>
      </w:r>
      <w:r w:rsidR="00B95409">
        <w:t>95 years</w:t>
      </w:r>
      <w:r w:rsidRPr="0035591D">
        <w:t>. Most pregnant women with mu</w:t>
      </w:r>
      <w:r w:rsidR="00985738">
        <w:t xml:space="preserve">ltigravida parity (&gt;1 times) </w:t>
      </w:r>
      <w:r w:rsidR="00B95409">
        <w:rPr>
          <w:lang w:val="id-ID"/>
        </w:rPr>
        <w:t xml:space="preserve">is </w:t>
      </w:r>
      <w:r w:rsidR="00985738">
        <w:t>50</w:t>
      </w:r>
      <w:r w:rsidR="00985738">
        <w:rPr>
          <w:lang w:val="id-ID"/>
        </w:rPr>
        <w:t>.</w:t>
      </w:r>
      <w:r w:rsidRPr="0035591D">
        <w:t>8%. Parity of a woman can affect the psychological health, especially in the third trimester pregnant women who will undergo delivery process. The results showed that most pregnant women worked a</w:t>
      </w:r>
      <w:r w:rsidR="00985738">
        <w:t>s entrepreneurs (52</w:t>
      </w:r>
      <w:r w:rsidR="00985738">
        <w:rPr>
          <w:lang w:val="id-ID"/>
        </w:rPr>
        <w:t>.</w:t>
      </w:r>
      <w:r w:rsidRPr="0035591D">
        <w:t>3 %) and most of them</w:t>
      </w:r>
      <w:r w:rsidR="00985738">
        <w:t xml:space="preserve"> were high school graduates (61</w:t>
      </w:r>
      <w:r w:rsidR="00985738">
        <w:rPr>
          <w:lang w:val="id-ID"/>
        </w:rPr>
        <w:t>.</w:t>
      </w:r>
      <w:r w:rsidRPr="0035591D">
        <w:t>5%). Higher mother's education, associated with better knowledge and more mature intellectual.</w:t>
      </w:r>
    </w:p>
    <w:p w:rsidR="00681DBA" w:rsidRDefault="00681DBA" w:rsidP="00FE43A3">
      <w:pPr>
        <w:ind w:firstLine="720"/>
        <w:jc w:val="both"/>
      </w:pPr>
    </w:p>
    <w:p w:rsidR="00681DBA" w:rsidRDefault="00681DBA" w:rsidP="00681DBA">
      <w:pPr>
        <w:jc w:val="both"/>
        <w:rPr>
          <w:b/>
          <w:bCs/>
          <w:lang w:val="id-ID"/>
        </w:rPr>
      </w:pPr>
      <w:r w:rsidRPr="003D5B84">
        <w:rPr>
          <w:b/>
          <w:bCs/>
          <w:lang w:val="id-ID"/>
        </w:rPr>
        <w:t xml:space="preserve">3.2. </w:t>
      </w:r>
      <w:r>
        <w:rPr>
          <w:b/>
          <w:bCs/>
        </w:rPr>
        <w:t xml:space="preserve"> </w:t>
      </w:r>
      <w:r>
        <w:rPr>
          <w:b/>
          <w:bCs/>
          <w:lang w:val="en-ID"/>
        </w:rPr>
        <w:t>Association</w:t>
      </w:r>
      <w:r w:rsidRPr="00FE43A3">
        <w:rPr>
          <w:b/>
          <w:bCs/>
          <w:lang w:val="id-ID"/>
        </w:rPr>
        <w:t xml:space="preserve"> between Calcium Supplementation Dosage and Vegetable Intake with Preeclampsia</w:t>
      </w:r>
    </w:p>
    <w:p w:rsidR="00681DBA" w:rsidRDefault="00681DBA" w:rsidP="00681DBA">
      <w:pPr>
        <w:ind w:firstLine="709"/>
        <w:jc w:val="both"/>
      </w:pPr>
      <w:r>
        <w:t>The mean dose of consumed calcium by the third</w:t>
      </w:r>
      <w:r w:rsidR="00985738">
        <w:t xml:space="preserve"> trimester of pregnancy is 476</w:t>
      </w:r>
      <w:r w:rsidR="00985738">
        <w:rPr>
          <w:lang w:val="id-ID"/>
        </w:rPr>
        <w:t>.</w:t>
      </w:r>
      <w:r>
        <w:t>2 mg/day. The average dose of calcium consumed by pregnant women who have preeclamsia is 4</w:t>
      </w:r>
      <w:r w:rsidR="00985738">
        <w:t>35</w:t>
      </w:r>
      <w:r w:rsidR="00985738">
        <w:rPr>
          <w:lang w:val="id-ID"/>
        </w:rPr>
        <w:t>.</w:t>
      </w:r>
      <w:r>
        <w:t>5 mg/day, whereas in pregnant wome</w:t>
      </w:r>
      <w:r w:rsidR="00E53CC0">
        <w:t>n who do not preeclamsia is 489</w:t>
      </w:r>
      <w:r w:rsidR="00E53CC0">
        <w:rPr>
          <w:lang w:val="id-ID"/>
        </w:rPr>
        <w:t>.</w:t>
      </w:r>
      <w:r>
        <w:t xml:space="preserve">5 mg/day. The common type of calcium supplement </w:t>
      </w:r>
      <w:r w:rsidR="00B95409">
        <w:rPr>
          <w:lang w:val="id-ID"/>
        </w:rPr>
        <w:t xml:space="preserve">is </w:t>
      </w:r>
      <w:r>
        <w:t>given by puskesmas to pregnan</w:t>
      </w:r>
      <w:r w:rsidR="00E53CC0">
        <w:t>t women are calcium lactate (78</w:t>
      </w:r>
      <w:r w:rsidR="00E53CC0">
        <w:rPr>
          <w:lang w:val="id-ID"/>
        </w:rPr>
        <w:t>.</w:t>
      </w:r>
      <w:r w:rsidR="0014237F">
        <w:t>5</w:t>
      </w:r>
      <w:r>
        <w:t>%), while the rest</w:t>
      </w:r>
      <w:r w:rsidR="00985738">
        <w:t xml:space="preserve"> is in the form of calsifar (12</w:t>
      </w:r>
      <w:r w:rsidR="00985738">
        <w:rPr>
          <w:lang w:val="id-ID"/>
        </w:rPr>
        <w:t>.</w:t>
      </w:r>
      <w:r w:rsidR="0014237F">
        <w:t xml:space="preserve">3%) and </w:t>
      </w:r>
      <w:r w:rsidR="00985738">
        <w:t>licokalk (7</w:t>
      </w:r>
      <w:r w:rsidR="00985738">
        <w:rPr>
          <w:lang w:val="id-ID"/>
        </w:rPr>
        <w:t>.</w:t>
      </w:r>
      <w:r>
        <w:t>7%).</w:t>
      </w:r>
    </w:p>
    <w:p w:rsidR="00681DBA" w:rsidRDefault="00B95409" w:rsidP="00681DBA">
      <w:pPr>
        <w:ind w:firstLine="709"/>
        <w:jc w:val="both"/>
      </w:pPr>
      <w:r>
        <w:t>Results of Kaplan-</w:t>
      </w:r>
      <w:r w:rsidR="00681DBA">
        <w:t>Mier's statistical test using the log rank method shows a significant difference between the average dose of calcium supplements per day consumed by third trimester pregnant women with preeclampsia compared to third trimester pregnant wo</w:t>
      </w:r>
      <w:r w:rsidR="00985738">
        <w:t>men without preeclampsia (p &lt;0</w:t>
      </w:r>
      <w:r w:rsidR="00985738">
        <w:rPr>
          <w:lang w:val="id-ID"/>
        </w:rPr>
        <w:t>.</w:t>
      </w:r>
      <w:r w:rsidR="00681DBA">
        <w:t xml:space="preserve">001). This study is in line with research by Khaing </w:t>
      </w:r>
      <w:r w:rsidR="00681DBA" w:rsidRPr="0014237F">
        <w:rPr>
          <w:i/>
        </w:rPr>
        <w:t>et al</w:t>
      </w:r>
      <w:r w:rsidR="00681DBA">
        <w:t>. (2017) who found that supplementation of calcium with vitamin D for 9 weeks, may decrease plasma fasting glucose and lipid profile in pregnant women and will redu</w:t>
      </w:r>
      <w:r w:rsidR="00985738">
        <w:t>ce the risk of preeclamsia (p&lt;0</w:t>
      </w:r>
      <w:r w:rsidR="00985738">
        <w:rPr>
          <w:lang w:val="id-ID"/>
        </w:rPr>
        <w:t>.</w:t>
      </w:r>
      <w:r w:rsidR="00681DBA">
        <w:t>05) [7] .</w:t>
      </w:r>
    </w:p>
    <w:p w:rsidR="00681DBA" w:rsidRPr="0035591D" w:rsidRDefault="00681DBA" w:rsidP="00FE43A3">
      <w:pPr>
        <w:ind w:firstLine="720"/>
        <w:jc w:val="both"/>
        <w:rPr>
          <w:lang w:val="en-ID"/>
        </w:rPr>
      </w:pPr>
    </w:p>
    <w:p w:rsidR="004F7AAD" w:rsidRPr="0047059A" w:rsidRDefault="00E21FB7" w:rsidP="0047059A">
      <w:pPr>
        <w:ind w:firstLine="720"/>
        <w:jc w:val="both"/>
      </w:pPr>
      <w:r>
        <w:rPr>
          <w:lang w:val="id-ID"/>
        </w:rPr>
        <w:t xml:space="preserve">    </w:t>
      </w:r>
      <w:r w:rsidR="00B95409">
        <w:t>Table 1.</w:t>
      </w:r>
      <w:r w:rsidR="0035591D" w:rsidRPr="0035591D">
        <w:t>Characteristics of Pregnant Women</w:t>
      </w:r>
    </w:p>
    <w:tbl>
      <w:tblPr>
        <w:tblW w:w="7534" w:type="dxa"/>
        <w:jc w:val="center"/>
        <w:tblInd w:w="817" w:type="dxa"/>
        <w:tblBorders>
          <w:top w:val="single" w:sz="4" w:space="0" w:color="auto"/>
          <w:bottom w:val="single" w:sz="4" w:space="0" w:color="auto"/>
          <w:insideH w:val="single" w:sz="4" w:space="0" w:color="auto"/>
        </w:tblBorders>
        <w:tblLook w:val="04A0" w:firstRow="1" w:lastRow="0" w:firstColumn="1" w:lastColumn="0" w:noHBand="0" w:noVBand="1"/>
      </w:tblPr>
      <w:tblGrid>
        <w:gridCol w:w="2408"/>
        <w:gridCol w:w="1434"/>
        <w:gridCol w:w="1434"/>
        <w:gridCol w:w="1126"/>
        <w:gridCol w:w="1132"/>
      </w:tblGrid>
      <w:tr w:rsidR="0035591D" w:rsidRPr="0047059A" w:rsidTr="00B95409">
        <w:trPr>
          <w:jc w:val="center"/>
        </w:trPr>
        <w:tc>
          <w:tcPr>
            <w:tcW w:w="2408" w:type="dxa"/>
            <w:vMerge w:val="restart"/>
            <w:shd w:val="clear" w:color="auto" w:fill="auto"/>
          </w:tcPr>
          <w:p w:rsidR="0035591D" w:rsidRPr="0035591D" w:rsidRDefault="0035591D" w:rsidP="0035591D">
            <w:pPr>
              <w:jc w:val="center"/>
              <w:rPr>
                <w:b/>
              </w:rPr>
            </w:pPr>
            <w:r w:rsidRPr="0035591D">
              <w:rPr>
                <w:b/>
              </w:rPr>
              <w:lastRenderedPageBreak/>
              <w:t>Variable</w:t>
            </w:r>
          </w:p>
        </w:tc>
        <w:tc>
          <w:tcPr>
            <w:tcW w:w="0" w:type="auto"/>
            <w:gridSpan w:val="2"/>
            <w:shd w:val="clear" w:color="auto" w:fill="auto"/>
          </w:tcPr>
          <w:p w:rsidR="0035591D" w:rsidRPr="0035591D" w:rsidRDefault="0035591D" w:rsidP="0035591D">
            <w:pPr>
              <w:jc w:val="center"/>
              <w:rPr>
                <w:b/>
              </w:rPr>
            </w:pPr>
            <w:r w:rsidRPr="0035591D">
              <w:rPr>
                <w:b/>
              </w:rPr>
              <w:t>Preeclam</w:t>
            </w:r>
            <w:r>
              <w:rPr>
                <w:b/>
              </w:rPr>
              <w:t>p</w:t>
            </w:r>
            <w:r w:rsidRPr="0035591D">
              <w:rPr>
                <w:b/>
              </w:rPr>
              <w:t>sia incident</w:t>
            </w:r>
          </w:p>
        </w:tc>
        <w:tc>
          <w:tcPr>
            <w:tcW w:w="1126" w:type="dxa"/>
            <w:vMerge w:val="restart"/>
            <w:shd w:val="clear" w:color="auto" w:fill="auto"/>
          </w:tcPr>
          <w:p w:rsidR="0035591D" w:rsidRPr="0035591D" w:rsidRDefault="0035591D" w:rsidP="0035591D">
            <w:pPr>
              <w:jc w:val="center"/>
              <w:rPr>
                <w:b/>
              </w:rPr>
            </w:pPr>
            <w:proofErr w:type="gramStart"/>
            <w:r w:rsidRPr="0035591D">
              <w:rPr>
                <w:b/>
              </w:rPr>
              <w:t>Total(</w:t>
            </w:r>
            <w:proofErr w:type="gramEnd"/>
            <w:r w:rsidRPr="0035591D">
              <w:rPr>
                <w:b/>
              </w:rPr>
              <w:t>%)</w:t>
            </w:r>
          </w:p>
        </w:tc>
        <w:tc>
          <w:tcPr>
            <w:tcW w:w="0" w:type="auto"/>
            <w:vMerge w:val="restart"/>
            <w:shd w:val="clear" w:color="auto" w:fill="auto"/>
          </w:tcPr>
          <w:p w:rsidR="0035591D" w:rsidRPr="0035591D" w:rsidRDefault="0035591D" w:rsidP="0035591D">
            <w:pPr>
              <w:jc w:val="center"/>
              <w:rPr>
                <w:b/>
              </w:rPr>
            </w:pPr>
            <w:r w:rsidRPr="0035591D">
              <w:rPr>
                <w:b/>
              </w:rPr>
              <w:t>P Value</w:t>
            </w:r>
          </w:p>
        </w:tc>
      </w:tr>
      <w:tr w:rsidR="004F7AAD" w:rsidRPr="0047059A" w:rsidTr="00E21FB7">
        <w:trPr>
          <w:jc w:val="center"/>
        </w:trPr>
        <w:tc>
          <w:tcPr>
            <w:tcW w:w="2408" w:type="dxa"/>
            <w:vMerge/>
            <w:tcBorders>
              <w:bottom w:val="single" w:sz="4" w:space="0" w:color="auto"/>
            </w:tcBorders>
            <w:shd w:val="clear" w:color="auto" w:fill="auto"/>
          </w:tcPr>
          <w:p w:rsidR="004F7AAD" w:rsidRPr="0047059A" w:rsidRDefault="004F7AAD" w:rsidP="0047059A">
            <w:pPr>
              <w:pStyle w:val="NoSpacing"/>
              <w:rPr>
                <w:rFonts w:ascii="Times New Roman" w:hAnsi="Times New Roman"/>
                <w:sz w:val="20"/>
                <w:szCs w:val="20"/>
              </w:rPr>
            </w:pPr>
          </w:p>
        </w:tc>
        <w:tc>
          <w:tcPr>
            <w:tcW w:w="0" w:type="auto"/>
            <w:tcBorders>
              <w:bottom w:val="single" w:sz="4" w:space="0" w:color="auto"/>
            </w:tcBorders>
            <w:shd w:val="clear" w:color="auto" w:fill="auto"/>
          </w:tcPr>
          <w:p w:rsidR="004F7AAD" w:rsidRPr="0047059A" w:rsidRDefault="0035591D" w:rsidP="0047059A">
            <w:pPr>
              <w:pStyle w:val="NoSpacing"/>
              <w:jc w:val="center"/>
              <w:rPr>
                <w:rFonts w:ascii="Times New Roman" w:hAnsi="Times New Roman"/>
                <w:b/>
                <w:sz w:val="20"/>
                <w:szCs w:val="20"/>
              </w:rPr>
            </w:pPr>
            <w:r>
              <w:rPr>
                <w:rFonts w:ascii="Times New Roman" w:hAnsi="Times New Roman"/>
                <w:b/>
                <w:sz w:val="20"/>
                <w:szCs w:val="20"/>
              </w:rPr>
              <w:t xml:space="preserve">No </w:t>
            </w:r>
          </w:p>
        </w:tc>
        <w:tc>
          <w:tcPr>
            <w:tcW w:w="0" w:type="auto"/>
            <w:tcBorders>
              <w:bottom w:val="single" w:sz="4" w:space="0" w:color="auto"/>
            </w:tcBorders>
            <w:shd w:val="clear" w:color="auto" w:fill="auto"/>
          </w:tcPr>
          <w:p w:rsidR="004F7AAD" w:rsidRPr="0047059A" w:rsidRDefault="004F7AAD" w:rsidP="0035591D">
            <w:pPr>
              <w:pStyle w:val="NoSpacing"/>
              <w:jc w:val="center"/>
              <w:rPr>
                <w:rFonts w:ascii="Times New Roman" w:hAnsi="Times New Roman"/>
                <w:b/>
                <w:sz w:val="20"/>
                <w:szCs w:val="20"/>
                <w:lang w:val="en-ID"/>
              </w:rPr>
            </w:pPr>
            <w:r w:rsidRPr="0047059A">
              <w:rPr>
                <w:rFonts w:ascii="Times New Roman" w:hAnsi="Times New Roman"/>
                <w:b/>
                <w:sz w:val="20"/>
                <w:szCs w:val="20"/>
                <w:lang w:val="en-ID"/>
              </w:rPr>
              <w:t>Y</w:t>
            </w:r>
            <w:r w:rsidR="0035591D">
              <w:rPr>
                <w:rFonts w:ascii="Times New Roman" w:hAnsi="Times New Roman"/>
                <w:b/>
                <w:sz w:val="20"/>
                <w:szCs w:val="20"/>
                <w:lang w:val="en-ID"/>
              </w:rPr>
              <w:t>es</w:t>
            </w:r>
          </w:p>
        </w:tc>
        <w:tc>
          <w:tcPr>
            <w:tcW w:w="1126" w:type="dxa"/>
            <w:vMerge/>
            <w:tcBorders>
              <w:bottom w:val="single" w:sz="4" w:space="0" w:color="auto"/>
            </w:tcBorders>
            <w:shd w:val="clear" w:color="auto" w:fill="auto"/>
          </w:tcPr>
          <w:p w:rsidR="004F7AAD" w:rsidRPr="0047059A" w:rsidRDefault="004F7AAD" w:rsidP="0047059A">
            <w:pPr>
              <w:pStyle w:val="NoSpacing"/>
              <w:rPr>
                <w:rFonts w:ascii="Times New Roman" w:hAnsi="Times New Roman"/>
                <w:sz w:val="20"/>
                <w:szCs w:val="20"/>
              </w:rPr>
            </w:pPr>
          </w:p>
        </w:tc>
        <w:tc>
          <w:tcPr>
            <w:tcW w:w="0" w:type="auto"/>
            <w:vMerge/>
            <w:tcBorders>
              <w:bottom w:val="single" w:sz="4" w:space="0" w:color="auto"/>
            </w:tcBorders>
            <w:shd w:val="clear" w:color="auto" w:fill="auto"/>
          </w:tcPr>
          <w:p w:rsidR="004F7AAD" w:rsidRPr="0047059A" w:rsidRDefault="004F7AAD" w:rsidP="0047059A">
            <w:pPr>
              <w:pStyle w:val="NoSpacing"/>
              <w:rPr>
                <w:rFonts w:ascii="Times New Roman" w:hAnsi="Times New Roman"/>
                <w:sz w:val="20"/>
                <w:szCs w:val="20"/>
              </w:rPr>
            </w:pPr>
          </w:p>
        </w:tc>
      </w:tr>
      <w:tr w:rsidR="0035591D" w:rsidRPr="0047059A" w:rsidTr="00B95409">
        <w:trPr>
          <w:jc w:val="center"/>
        </w:trPr>
        <w:tc>
          <w:tcPr>
            <w:tcW w:w="2408" w:type="dxa"/>
            <w:tcBorders>
              <w:bottom w:val="nil"/>
            </w:tcBorders>
            <w:shd w:val="clear" w:color="auto" w:fill="auto"/>
          </w:tcPr>
          <w:p w:rsidR="0035591D" w:rsidRPr="00954457" w:rsidRDefault="0035591D" w:rsidP="00B95409">
            <w:r w:rsidRPr="00954457">
              <w:t>Age (x̄ ± SD, year)</w:t>
            </w:r>
          </w:p>
        </w:tc>
        <w:tc>
          <w:tcPr>
            <w:tcW w:w="0" w:type="auto"/>
            <w:tcBorders>
              <w:bottom w:val="nil"/>
            </w:tcBorders>
            <w:shd w:val="clear" w:color="auto" w:fill="auto"/>
          </w:tcPr>
          <w:p w:rsidR="0035591D" w:rsidRPr="00954457" w:rsidRDefault="00985738" w:rsidP="0035591D">
            <w:pPr>
              <w:jc w:val="center"/>
            </w:pPr>
            <w:r>
              <w:t>25</w:t>
            </w:r>
            <w:r>
              <w:rPr>
                <w:lang w:val="id-ID"/>
              </w:rPr>
              <w:t>.</w:t>
            </w:r>
            <w:r w:rsidR="0014237F">
              <w:t>96±</w:t>
            </w:r>
            <w:r>
              <w:t>3</w:t>
            </w:r>
            <w:r>
              <w:rPr>
                <w:lang w:val="id-ID"/>
              </w:rPr>
              <w:t>.</w:t>
            </w:r>
            <w:r w:rsidR="0035591D" w:rsidRPr="00954457">
              <w:t>94</w:t>
            </w:r>
          </w:p>
        </w:tc>
        <w:tc>
          <w:tcPr>
            <w:tcW w:w="0" w:type="auto"/>
            <w:tcBorders>
              <w:bottom w:val="nil"/>
            </w:tcBorders>
            <w:shd w:val="clear" w:color="auto" w:fill="auto"/>
          </w:tcPr>
          <w:p w:rsidR="0035591D" w:rsidRPr="00954457" w:rsidRDefault="00985738" w:rsidP="0035591D">
            <w:pPr>
              <w:jc w:val="center"/>
            </w:pPr>
            <w:r>
              <w:t>28</w:t>
            </w:r>
            <w:r>
              <w:rPr>
                <w:lang w:val="id-ID"/>
              </w:rPr>
              <w:t>.</w:t>
            </w:r>
            <w:r w:rsidR="0014237F">
              <w:t>75±</w:t>
            </w:r>
            <w:r>
              <w:t>3</w:t>
            </w:r>
            <w:r>
              <w:rPr>
                <w:lang w:val="id-ID"/>
              </w:rPr>
              <w:t>.</w:t>
            </w:r>
            <w:r w:rsidR="0035591D" w:rsidRPr="00954457">
              <w:t>19</w:t>
            </w:r>
          </w:p>
        </w:tc>
        <w:tc>
          <w:tcPr>
            <w:tcW w:w="1126" w:type="dxa"/>
            <w:tcBorders>
              <w:bottom w:val="nil"/>
            </w:tcBorders>
            <w:shd w:val="clear" w:color="auto" w:fill="auto"/>
          </w:tcPr>
          <w:p w:rsidR="0035591D" w:rsidRPr="00954457" w:rsidRDefault="0035591D" w:rsidP="0035591D">
            <w:pPr>
              <w:jc w:val="center"/>
            </w:pPr>
          </w:p>
        </w:tc>
        <w:tc>
          <w:tcPr>
            <w:tcW w:w="0" w:type="auto"/>
            <w:tcBorders>
              <w:bottom w:val="nil"/>
            </w:tcBorders>
            <w:shd w:val="clear" w:color="auto" w:fill="auto"/>
          </w:tcPr>
          <w:p w:rsidR="0035591D" w:rsidRPr="00954457" w:rsidRDefault="00985738" w:rsidP="0035591D">
            <w:pPr>
              <w:jc w:val="center"/>
            </w:pPr>
            <w:r>
              <w:t>0</w:t>
            </w:r>
            <w:r>
              <w:rPr>
                <w:lang w:val="id-ID"/>
              </w:rPr>
              <w:t>.</w:t>
            </w:r>
            <w:r w:rsidR="0035591D" w:rsidRPr="00954457">
              <w:t>087</w:t>
            </w:r>
          </w:p>
        </w:tc>
      </w:tr>
      <w:tr w:rsidR="0035591D" w:rsidRPr="0047059A" w:rsidTr="00B95409">
        <w:trPr>
          <w:jc w:val="center"/>
        </w:trPr>
        <w:tc>
          <w:tcPr>
            <w:tcW w:w="2408" w:type="dxa"/>
            <w:tcBorders>
              <w:top w:val="nil"/>
              <w:bottom w:val="nil"/>
            </w:tcBorders>
            <w:shd w:val="clear" w:color="auto" w:fill="auto"/>
          </w:tcPr>
          <w:p w:rsidR="0035591D" w:rsidRPr="00954457" w:rsidRDefault="0035591D" w:rsidP="00B95409">
            <w:r w:rsidRPr="00954457">
              <w:t>Parity, n (%)</w:t>
            </w:r>
          </w:p>
        </w:tc>
        <w:tc>
          <w:tcPr>
            <w:tcW w:w="0" w:type="auto"/>
            <w:tcBorders>
              <w:top w:val="nil"/>
              <w:bottom w:val="nil"/>
            </w:tcBorders>
            <w:shd w:val="clear" w:color="auto" w:fill="auto"/>
          </w:tcPr>
          <w:p w:rsidR="0035591D" w:rsidRPr="00954457" w:rsidRDefault="0035591D" w:rsidP="0035591D">
            <w:pPr>
              <w:jc w:val="center"/>
            </w:pPr>
          </w:p>
        </w:tc>
        <w:tc>
          <w:tcPr>
            <w:tcW w:w="0" w:type="auto"/>
            <w:tcBorders>
              <w:top w:val="nil"/>
              <w:bottom w:val="nil"/>
            </w:tcBorders>
            <w:shd w:val="clear" w:color="auto" w:fill="auto"/>
          </w:tcPr>
          <w:p w:rsidR="0035591D" w:rsidRPr="00954457" w:rsidRDefault="0035591D" w:rsidP="0035591D">
            <w:pPr>
              <w:jc w:val="center"/>
            </w:pPr>
          </w:p>
        </w:tc>
        <w:tc>
          <w:tcPr>
            <w:tcW w:w="1126" w:type="dxa"/>
            <w:tcBorders>
              <w:top w:val="nil"/>
              <w:bottom w:val="nil"/>
            </w:tcBorders>
            <w:shd w:val="clear" w:color="auto" w:fill="auto"/>
          </w:tcPr>
          <w:p w:rsidR="0035591D" w:rsidRPr="00954457" w:rsidRDefault="0035591D" w:rsidP="0035591D">
            <w:pPr>
              <w:jc w:val="center"/>
            </w:pPr>
          </w:p>
        </w:tc>
        <w:tc>
          <w:tcPr>
            <w:tcW w:w="0" w:type="auto"/>
            <w:tcBorders>
              <w:top w:val="nil"/>
              <w:bottom w:val="nil"/>
            </w:tcBorders>
            <w:shd w:val="clear" w:color="auto" w:fill="auto"/>
          </w:tcPr>
          <w:p w:rsidR="0035591D" w:rsidRPr="00954457" w:rsidRDefault="00985738" w:rsidP="0035591D">
            <w:pPr>
              <w:jc w:val="center"/>
            </w:pPr>
            <w:r>
              <w:t>0</w:t>
            </w:r>
            <w:r>
              <w:rPr>
                <w:lang w:val="id-ID"/>
              </w:rPr>
              <w:t>.</w:t>
            </w:r>
            <w:r w:rsidR="0035591D" w:rsidRPr="00954457">
              <w:t>028*</w:t>
            </w:r>
          </w:p>
        </w:tc>
      </w:tr>
      <w:tr w:rsidR="0035591D" w:rsidRPr="0047059A" w:rsidTr="00B95409">
        <w:trPr>
          <w:jc w:val="center"/>
        </w:trPr>
        <w:tc>
          <w:tcPr>
            <w:tcW w:w="2408" w:type="dxa"/>
            <w:tcBorders>
              <w:top w:val="nil"/>
              <w:bottom w:val="nil"/>
            </w:tcBorders>
            <w:shd w:val="clear" w:color="auto" w:fill="auto"/>
          </w:tcPr>
          <w:p w:rsidR="0035591D" w:rsidRPr="00954457" w:rsidRDefault="0035591D" w:rsidP="0035591D">
            <w:pPr>
              <w:ind w:firstLine="258"/>
            </w:pPr>
            <w:r w:rsidRPr="00954457">
              <w:t>Primigravida</w:t>
            </w:r>
          </w:p>
        </w:tc>
        <w:tc>
          <w:tcPr>
            <w:tcW w:w="0" w:type="auto"/>
            <w:tcBorders>
              <w:top w:val="nil"/>
              <w:bottom w:val="nil"/>
            </w:tcBorders>
            <w:shd w:val="clear" w:color="auto" w:fill="auto"/>
          </w:tcPr>
          <w:p w:rsidR="0035591D" w:rsidRPr="00954457" w:rsidRDefault="0014237F" w:rsidP="0035591D">
            <w:pPr>
              <w:jc w:val="center"/>
            </w:pPr>
            <w:r>
              <w:t>28</w:t>
            </w:r>
            <w:r w:rsidR="00985738">
              <w:t>(43</w:t>
            </w:r>
            <w:r w:rsidR="00985738">
              <w:rPr>
                <w:lang w:val="id-ID"/>
              </w:rPr>
              <w:t>.</w:t>
            </w:r>
            <w:r w:rsidR="0035591D" w:rsidRPr="00954457">
              <w:t>1)</w:t>
            </w:r>
          </w:p>
        </w:tc>
        <w:tc>
          <w:tcPr>
            <w:tcW w:w="0" w:type="auto"/>
            <w:tcBorders>
              <w:top w:val="nil"/>
              <w:bottom w:val="nil"/>
            </w:tcBorders>
            <w:shd w:val="clear" w:color="auto" w:fill="auto"/>
          </w:tcPr>
          <w:p w:rsidR="0035591D" w:rsidRPr="00954457" w:rsidRDefault="0014237F" w:rsidP="0035591D">
            <w:pPr>
              <w:jc w:val="center"/>
            </w:pPr>
            <w:r>
              <w:t>4</w:t>
            </w:r>
            <w:r w:rsidR="00985738">
              <w:t>(6</w:t>
            </w:r>
            <w:r w:rsidR="00985738">
              <w:rPr>
                <w:lang w:val="id-ID"/>
              </w:rPr>
              <w:t>.</w:t>
            </w:r>
            <w:r w:rsidR="0035591D" w:rsidRPr="00954457">
              <w:t>2)</w:t>
            </w:r>
          </w:p>
        </w:tc>
        <w:tc>
          <w:tcPr>
            <w:tcW w:w="1126" w:type="dxa"/>
            <w:tcBorders>
              <w:top w:val="nil"/>
              <w:bottom w:val="nil"/>
            </w:tcBorders>
            <w:shd w:val="clear" w:color="auto" w:fill="auto"/>
          </w:tcPr>
          <w:p w:rsidR="0035591D" w:rsidRPr="00954457" w:rsidRDefault="0014237F" w:rsidP="0035591D">
            <w:pPr>
              <w:jc w:val="center"/>
            </w:pPr>
            <w:r>
              <w:t>32</w:t>
            </w:r>
            <w:r w:rsidR="00985738">
              <w:t>(49</w:t>
            </w:r>
            <w:r w:rsidR="00985738">
              <w:rPr>
                <w:lang w:val="id-ID"/>
              </w:rPr>
              <w:t>.</w:t>
            </w:r>
            <w:r w:rsidR="0035591D" w:rsidRPr="00954457">
              <w:t>2)</w:t>
            </w:r>
          </w:p>
        </w:tc>
        <w:tc>
          <w:tcPr>
            <w:tcW w:w="0" w:type="auto"/>
            <w:tcBorders>
              <w:top w:val="nil"/>
              <w:bottom w:val="nil"/>
            </w:tcBorders>
            <w:shd w:val="clear" w:color="auto" w:fill="auto"/>
          </w:tcPr>
          <w:p w:rsidR="0035591D" w:rsidRPr="00954457" w:rsidRDefault="0035591D" w:rsidP="0035591D">
            <w:pPr>
              <w:jc w:val="center"/>
            </w:pPr>
          </w:p>
        </w:tc>
      </w:tr>
      <w:tr w:rsidR="0035591D" w:rsidRPr="0047059A" w:rsidTr="00B95409">
        <w:trPr>
          <w:jc w:val="center"/>
        </w:trPr>
        <w:tc>
          <w:tcPr>
            <w:tcW w:w="2408" w:type="dxa"/>
            <w:tcBorders>
              <w:top w:val="nil"/>
              <w:bottom w:val="nil"/>
            </w:tcBorders>
            <w:shd w:val="clear" w:color="auto" w:fill="auto"/>
          </w:tcPr>
          <w:p w:rsidR="0035591D" w:rsidRPr="00954457" w:rsidRDefault="0035591D" w:rsidP="0035591D">
            <w:pPr>
              <w:ind w:firstLine="258"/>
            </w:pPr>
            <w:r w:rsidRPr="00954457">
              <w:t>Multigravida</w:t>
            </w:r>
          </w:p>
        </w:tc>
        <w:tc>
          <w:tcPr>
            <w:tcW w:w="0" w:type="auto"/>
            <w:tcBorders>
              <w:top w:val="nil"/>
              <w:bottom w:val="nil"/>
            </w:tcBorders>
            <w:shd w:val="clear" w:color="auto" w:fill="auto"/>
          </w:tcPr>
          <w:p w:rsidR="0035591D" w:rsidRPr="00954457" w:rsidRDefault="0014237F" w:rsidP="0035591D">
            <w:pPr>
              <w:jc w:val="center"/>
            </w:pPr>
            <w:r>
              <w:t>21</w:t>
            </w:r>
            <w:r w:rsidR="00985738">
              <w:t>(32</w:t>
            </w:r>
            <w:r w:rsidR="00985738">
              <w:rPr>
                <w:lang w:val="id-ID"/>
              </w:rPr>
              <w:t>.</w:t>
            </w:r>
            <w:r w:rsidR="0035591D" w:rsidRPr="00954457">
              <w:t>3)</w:t>
            </w:r>
          </w:p>
        </w:tc>
        <w:tc>
          <w:tcPr>
            <w:tcW w:w="0" w:type="auto"/>
            <w:tcBorders>
              <w:top w:val="nil"/>
              <w:bottom w:val="nil"/>
            </w:tcBorders>
            <w:shd w:val="clear" w:color="auto" w:fill="auto"/>
          </w:tcPr>
          <w:p w:rsidR="0035591D" w:rsidRPr="00954457" w:rsidRDefault="0014237F" w:rsidP="0035591D">
            <w:pPr>
              <w:jc w:val="center"/>
            </w:pPr>
            <w:r>
              <w:t>12</w:t>
            </w:r>
            <w:r w:rsidR="00985738">
              <w:t>(18</w:t>
            </w:r>
            <w:r w:rsidR="00985738">
              <w:rPr>
                <w:lang w:val="id-ID"/>
              </w:rPr>
              <w:t>.</w:t>
            </w:r>
            <w:r w:rsidR="0035591D" w:rsidRPr="00954457">
              <w:t>5)</w:t>
            </w:r>
          </w:p>
        </w:tc>
        <w:tc>
          <w:tcPr>
            <w:tcW w:w="1126" w:type="dxa"/>
            <w:tcBorders>
              <w:top w:val="nil"/>
              <w:bottom w:val="nil"/>
            </w:tcBorders>
            <w:shd w:val="clear" w:color="auto" w:fill="auto"/>
          </w:tcPr>
          <w:p w:rsidR="0035591D" w:rsidRPr="00954457" w:rsidRDefault="0014237F" w:rsidP="0035591D">
            <w:pPr>
              <w:jc w:val="center"/>
            </w:pPr>
            <w:r>
              <w:t>33</w:t>
            </w:r>
            <w:r w:rsidR="00985738">
              <w:t>(50</w:t>
            </w:r>
            <w:r w:rsidR="00985738">
              <w:rPr>
                <w:lang w:val="id-ID"/>
              </w:rPr>
              <w:t>.</w:t>
            </w:r>
            <w:r w:rsidR="0035591D" w:rsidRPr="00954457">
              <w:t>8)</w:t>
            </w:r>
          </w:p>
        </w:tc>
        <w:tc>
          <w:tcPr>
            <w:tcW w:w="0" w:type="auto"/>
            <w:tcBorders>
              <w:top w:val="nil"/>
              <w:bottom w:val="nil"/>
            </w:tcBorders>
            <w:shd w:val="clear" w:color="auto" w:fill="auto"/>
          </w:tcPr>
          <w:p w:rsidR="0035591D" w:rsidRPr="00954457" w:rsidRDefault="0035591D" w:rsidP="0035591D">
            <w:pPr>
              <w:jc w:val="center"/>
            </w:pPr>
          </w:p>
        </w:tc>
      </w:tr>
      <w:tr w:rsidR="0035591D" w:rsidRPr="0047059A" w:rsidTr="00B95409">
        <w:trPr>
          <w:jc w:val="center"/>
        </w:trPr>
        <w:tc>
          <w:tcPr>
            <w:tcW w:w="2408" w:type="dxa"/>
            <w:tcBorders>
              <w:top w:val="nil"/>
              <w:bottom w:val="nil"/>
            </w:tcBorders>
            <w:shd w:val="clear" w:color="auto" w:fill="auto"/>
          </w:tcPr>
          <w:p w:rsidR="0035591D" w:rsidRPr="00954457" w:rsidRDefault="0035591D" w:rsidP="00B95409">
            <w:r w:rsidRPr="00954457">
              <w:t>Occupation, n (%)</w:t>
            </w:r>
          </w:p>
        </w:tc>
        <w:tc>
          <w:tcPr>
            <w:tcW w:w="0" w:type="auto"/>
            <w:gridSpan w:val="2"/>
            <w:tcBorders>
              <w:top w:val="nil"/>
              <w:bottom w:val="nil"/>
            </w:tcBorders>
            <w:shd w:val="clear" w:color="auto" w:fill="auto"/>
          </w:tcPr>
          <w:p w:rsidR="0035591D" w:rsidRPr="00954457" w:rsidRDefault="0035591D" w:rsidP="0035591D">
            <w:pPr>
              <w:jc w:val="center"/>
            </w:pPr>
          </w:p>
        </w:tc>
        <w:tc>
          <w:tcPr>
            <w:tcW w:w="1126" w:type="dxa"/>
            <w:tcBorders>
              <w:top w:val="nil"/>
              <w:bottom w:val="nil"/>
            </w:tcBorders>
            <w:shd w:val="clear" w:color="auto" w:fill="auto"/>
          </w:tcPr>
          <w:p w:rsidR="0035591D" w:rsidRPr="00954457" w:rsidRDefault="0035591D" w:rsidP="0035591D">
            <w:pPr>
              <w:jc w:val="center"/>
            </w:pPr>
          </w:p>
        </w:tc>
        <w:tc>
          <w:tcPr>
            <w:tcW w:w="0" w:type="auto"/>
            <w:tcBorders>
              <w:top w:val="nil"/>
              <w:bottom w:val="nil"/>
            </w:tcBorders>
            <w:shd w:val="clear" w:color="auto" w:fill="auto"/>
          </w:tcPr>
          <w:p w:rsidR="0035591D" w:rsidRPr="00954457" w:rsidRDefault="00985738" w:rsidP="0035591D">
            <w:pPr>
              <w:jc w:val="center"/>
            </w:pPr>
            <w:r>
              <w:t>0</w:t>
            </w:r>
            <w:r>
              <w:rPr>
                <w:lang w:val="id-ID"/>
              </w:rPr>
              <w:t>.</w:t>
            </w:r>
            <w:r w:rsidR="0035591D" w:rsidRPr="00954457">
              <w:t>511</w:t>
            </w:r>
          </w:p>
        </w:tc>
      </w:tr>
      <w:tr w:rsidR="0035591D" w:rsidRPr="0047059A" w:rsidTr="00B95409">
        <w:trPr>
          <w:jc w:val="center"/>
        </w:trPr>
        <w:tc>
          <w:tcPr>
            <w:tcW w:w="2408" w:type="dxa"/>
            <w:tcBorders>
              <w:top w:val="nil"/>
              <w:bottom w:val="nil"/>
            </w:tcBorders>
            <w:shd w:val="clear" w:color="auto" w:fill="auto"/>
          </w:tcPr>
          <w:p w:rsidR="0035591D" w:rsidRPr="00954457" w:rsidRDefault="0035591D" w:rsidP="0035591D">
            <w:pPr>
              <w:ind w:firstLine="258"/>
            </w:pPr>
            <w:r w:rsidRPr="00954457">
              <w:t xml:space="preserve">Labour </w:t>
            </w:r>
          </w:p>
        </w:tc>
        <w:tc>
          <w:tcPr>
            <w:tcW w:w="0" w:type="auto"/>
            <w:tcBorders>
              <w:top w:val="nil"/>
              <w:bottom w:val="nil"/>
            </w:tcBorders>
            <w:shd w:val="clear" w:color="auto" w:fill="auto"/>
          </w:tcPr>
          <w:p w:rsidR="0035591D" w:rsidRPr="00954457" w:rsidRDefault="0014237F" w:rsidP="0035591D">
            <w:pPr>
              <w:jc w:val="center"/>
            </w:pPr>
            <w:r>
              <w:t>6</w:t>
            </w:r>
            <w:r w:rsidR="00985738">
              <w:t>(9</w:t>
            </w:r>
            <w:r w:rsidR="00985738">
              <w:rPr>
                <w:lang w:val="id-ID"/>
              </w:rPr>
              <w:t>.</w:t>
            </w:r>
            <w:r w:rsidR="0035591D" w:rsidRPr="00954457">
              <w:t>2)</w:t>
            </w:r>
          </w:p>
        </w:tc>
        <w:tc>
          <w:tcPr>
            <w:tcW w:w="0" w:type="auto"/>
            <w:tcBorders>
              <w:top w:val="nil"/>
              <w:bottom w:val="nil"/>
            </w:tcBorders>
            <w:shd w:val="clear" w:color="auto" w:fill="auto"/>
          </w:tcPr>
          <w:p w:rsidR="0035591D" w:rsidRPr="00954457" w:rsidRDefault="0014237F" w:rsidP="0035591D">
            <w:pPr>
              <w:jc w:val="center"/>
            </w:pPr>
            <w:r>
              <w:t>1</w:t>
            </w:r>
            <w:r w:rsidR="00985738">
              <w:t>(1</w:t>
            </w:r>
            <w:r w:rsidR="00985738">
              <w:rPr>
                <w:lang w:val="id-ID"/>
              </w:rPr>
              <w:t>.</w:t>
            </w:r>
            <w:r w:rsidR="0035591D" w:rsidRPr="00954457">
              <w:t>5)</w:t>
            </w:r>
          </w:p>
        </w:tc>
        <w:tc>
          <w:tcPr>
            <w:tcW w:w="1126" w:type="dxa"/>
            <w:tcBorders>
              <w:top w:val="nil"/>
              <w:bottom w:val="nil"/>
            </w:tcBorders>
            <w:shd w:val="clear" w:color="auto" w:fill="auto"/>
          </w:tcPr>
          <w:p w:rsidR="0035591D" w:rsidRPr="00954457" w:rsidRDefault="0014237F" w:rsidP="0035591D">
            <w:pPr>
              <w:jc w:val="center"/>
            </w:pPr>
            <w:r>
              <w:t>7</w:t>
            </w:r>
            <w:r w:rsidR="00985738">
              <w:t>(10</w:t>
            </w:r>
            <w:r w:rsidR="00985738">
              <w:rPr>
                <w:lang w:val="id-ID"/>
              </w:rPr>
              <w:t>.</w:t>
            </w:r>
            <w:r w:rsidR="0035591D" w:rsidRPr="00954457">
              <w:t>8)</w:t>
            </w:r>
          </w:p>
        </w:tc>
        <w:tc>
          <w:tcPr>
            <w:tcW w:w="0" w:type="auto"/>
            <w:tcBorders>
              <w:top w:val="nil"/>
              <w:bottom w:val="nil"/>
            </w:tcBorders>
            <w:shd w:val="clear" w:color="auto" w:fill="auto"/>
          </w:tcPr>
          <w:p w:rsidR="0035591D" w:rsidRPr="00954457" w:rsidRDefault="0035591D" w:rsidP="0035591D">
            <w:pPr>
              <w:jc w:val="center"/>
            </w:pPr>
          </w:p>
        </w:tc>
      </w:tr>
      <w:tr w:rsidR="0035591D" w:rsidRPr="0047059A" w:rsidTr="00B95409">
        <w:trPr>
          <w:jc w:val="center"/>
        </w:trPr>
        <w:tc>
          <w:tcPr>
            <w:tcW w:w="2408" w:type="dxa"/>
            <w:tcBorders>
              <w:top w:val="nil"/>
              <w:bottom w:val="nil"/>
            </w:tcBorders>
            <w:shd w:val="clear" w:color="auto" w:fill="auto"/>
          </w:tcPr>
          <w:p w:rsidR="0035591D" w:rsidRPr="00954457" w:rsidRDefault="0035591D" w:rsidP="0035591D">
            <w:pPr>
              <w:ind w:firstLine="258"/>
            </w:pPr>
            <w:r w:rsidRPr="00954457">
              <w:t>Farmers/ traders</w:t>
            </w:r>
          </w:p>
        </w:tc>
        <w:tc>
          <w:tcPr>
            <w:tcW w:w="0" w:type="auto"/>
            <w:tcBorders>
              <w:top w:val="nil"/>
              <w:bottom w:val="nil"/>
            </w:tcBorders>
            <w:shd w:val="clear" w:color="auto" w:fill="auto"/>
          </w:tcPr>
          <w:p w:rsidR="0035591D" w:rsidRPr="00954457" w:rsidRDefault="0014237F" w:rsidP="0035591D">
            <w:pPr>
              <w:jc w:val="center"/>
            </w:pPr>
            <w:r>
              <w:t>5</w:t>
            </w:r>
            <w:r w:rsidR="00985738">
              <w:t>(7</w:t>
            </w:r>
            <w:r w:rsidR="00985738">
              <w:rPr>
                <w:lang w:val="id-ID"/>
              </w:rPr>
              <w:t>.</w:t>
            </w:r>
            <w:r w:rsidR="0035591D" w:rsidRPr="00954457">
              <w:t>7)</w:t>
            </w:r>
          </w:p>
        </w:tc>
        <w:tc>
          <w:tcPr>
            <w:tcW w:w="0" w:type="auto"/>
            <w:tcBorders>
              <w:top w:val="nil"/>
              <w:bottom w:val="nil"/>
            </w:tcBorders>
            <w:shd w:val="clear" w:color="auto" w:fill="auto"/>
          </w:tcPr>
          <w:p w:rsidR="0035591D" w:rsidRPr="00954457" w:rsidRDefault="0014237F" w:rsidP="0035591D">
            <w:pPr>
              <w:jc w:val="center"/>
            </w:pPr>
            <w:r>
              <w:t>4</w:t>
            </w:r>
            <w:r w:rsidR="00985738">
              <w:t>(6</w:t>
            </w:r>
            <w:r w:rsidR="00985738">
              <w:rPr>
                <w:lang w:val="id-ID"/>
              </w:rPr>
              <w:t>.</w:t>
            </w:r>
            <w:r w:rsidR="0035591D" w:rsidRPr="00954457">
              <w:t>2)</w:t>
            </w:r>
          </w:p>
        </w:tc>
        <w:tc>
          <w:tcPr>
            <w:tcW w:w="1126" w:type="dxa"/>
            <w:tcBorders>
              <w:top w:val="nil"/>
              <w:bottom w:val="nil"/>
            </w:tcBorders>
            <w:shd w:val="clear" w:color="auto" w:fill="auto"/>
          </w:tcPr>
          <w:p w:rsidR="0035591D" w:rsidRPr="00954457" w:rsidRDefault="0014237F" w:rsidP="0035591D">
            <w:pPr>
              <w:jc w:val="center"/>
            </w:pPr>
            <w:r>
              <w:t>9</w:t>
            </w:r>
            <w:r w:rsidR="00985738">
              <w:t>(13</w:t>
            </w:r>
            <w:r w:rsidR="00985738">
              <w:rPr>
                <w:lang w:val="id-ID"/>
              </w:rPr>
              <w:t>.</w:t>
            </w:r>
            <w:r w:rsidR="0035591D" w:rsidRPr="00954457">
              <w:t>8)</w:t>
            </w:r>
          </w:p>
        </w:tc>
        <w:tc>
          <w:tcPr>
            <w:tcW w:w="0" w:type="auto"/>
            <w:tcBorders>
              <w:top w:val="nil"/>
              <w:bottom w:val="nil"/>
            </w:tcBorders>
            <w:shd w:val="clear" w:color="auto" w:fill="auto"/>
          </w:tcPr>
          <w:p w:rsidR="0035591D" w:rsidRPr="00954457" w:rsidRDefault="0035591D" w:rsidP="0035591D">
            <w:pPr>
              <w:jc w:val="center"/>
            </w:pPr>
          </w:p>
        </w:tc>
      </w:tr>
      <w:tr w:rsidR="0035591D" w:rsidRPr="0047059A" w:rsidTr="00B95409">
        <w:trPr>
          <w:jc w:val="center"/>
        </w:trPr>
        <w:tc>
          <w:tcPr>
            <w:tcW w:w="2408" w:type="dxa"/>
            <w:tcBorders>
              <w:top w:val="nil"/>
              <w:bottom w:val="nil"/>
            </w:tcBorders>
            <w:shd w:val="clear" w:color="auto" w:fill="auto"/>
          </w:tcPr>
          <w:p w:rsidR="0035591D" w:rsidRPr="00954457" w:rsidRDefault="0035591D" w:rsidP="0035591D">
            <w:pPr>
              <w:ind w:firstLine="258"/>
            </w:pPr>
            <w:r w:rsidRPr="00954457">
              <w:t>Teacher</w:t>
            </w:r>
          </w:p>
        </w:tc>
        <w:tc>
          <w:tcPr>
            <w:tcW w:w="0" w:type="auto"/>
            <w:tcBorders>
              <w:top w:val="nil"/>
              <w:bottom w:val="nil"/>
            </w:tcBorders>
            <w:shd w:val="clear" w:color="auto" w:fill="auto"/>
          </w:tcPr>
          <w:p w:rsidR="0035591D" w:rsidRPr="00954457" w:rsidRDefault="0014237F" w:rsidP="0035591D">
            <w:pPr>
              <w:jc w:val="center"/>
            </w:pPr>
            <w:r>
              <w:t>4</w:t>
            </w:r>
            <w:r w:rsidR="00985738">
              <w:t>(6</w:t>
            </w:r>
            <w:r w:rsidR="00985738">
              <w:rPr>
                <w:lang w:val="id-ID"/>
              </w:rPr>
              <w:t>.</w:t>
            </w:r>
            <w:r w:rsidR="0035591D" w:rsidRPr="00954457">
              <w:t>2)</w:t>
            </w:r>
          </w:p>
        </w:tc>
        <w:tc>
          <w:tcPr>
            <w:tcW w:w="0" w:type="auto"/>
            <w:tcBorders>
              <w:top w:val="nil"/>
              <w:bottom w:val="nil"/>
            </w:tcBorders>
            <w:shd w:val="clear" w:color="auto" w:fill="auto"/>
          </w:tcPr>
          <w:p w:rsidR="0035591D" w:rsidRPr="00954457" w:rsidRDefault="0014237F" w:rsidP="0035591D">
            <w:pPr>
              <w:jc w:val="center"/>
            </w:pPr>
            <w:r>
              <w:t>0</w:t>
            </w:r>
            <w:r w:rsidR="00985738">
              <w:t>(0</w:t>
            </w:r>
            <w:r w:rsidR="00985738">
              <w:rPr>
                <w:lang w:val="id-ID"/>
              </w:rPr>
              <w:t>.</w:t>
            </w:r>
            <w:r w:rsidR="0035591D" w:rsidRPr="00954457">
              <w:t>0)</w:t>
            </w:r>
          </w:p>
        </w:tc>
        <w:tc>
          <w:tcPr>
            <w:tcW w:w="1126" w:type="dxa"/>
            <w:tcBorders>
              <w:top w:val="nil"/>
              <w:bottom w:val="nil"/>
            </w:tcBorders>
            <w:shd w:val="clear" w:color="auto" w:fill="auto"/>
          </w:tcPr>
          <w:p w:rsidR="0035591D" w:rsidRPr="00954457" w:rsidRDefault="0014237F" w:rsidP="0035591D">
            <w:pPr>
              <w:jc w:val="center"/>
            </w:pPr>
            <w:r>
              <w:t>4</w:t>
            </w:r>
            <w:r w:rsidR="00985738">
              <w:t>(6</w:t>
            </w:r>
            <w:r w:rsidR="00985738">
              <w:rPr>
                <w:lang w:val="id-ID"/>
              </w:rPr>
              <w:t>.</w:t>
            </w:r>
            <w:r w:rsidR="0035591D" w:rsidRPr="00954457">
              <w:t>2)</w:t>
            </w:r>
          </w:p>
        </w:tc>
        <w:tc>
          <w:tcPr>
            <w:tcW w:w="0" w:type="auto"/>
            <w:tcBorders>
              <w:top w:val="nil"/>
              <w:bottom w:val="nil"/>
            </w:tcBorders>
            <w:shd w:val="clear" w:color="auto" w:fill="auto"/>
          </w:tcPr>
          <w:p w:rsidR="0035591D" w:rsidRPr="00954457" w:rsidRDefault="0035591D" w:rsidP="0035591D">
            <w:pPr>
              <w:jc w:val="center"/>
            </w:pPr>
          </w:p>
        </w:tc>
      </w:tr>
      <w:tr w:rsidR="0035591D" w:rsidRPr="0047059A" w:rsidTr="00B95409">
        <w:trPr>
          <w:jc w:val="center"/>
        </w:trPr>
        <w:tc>
          <w:tcPr>
            <w:tcW w:w="2408" w:type="dxa"/>
            <w:tcBorders>
              <w:top w:val="nil"/>
              <w:bottom w:val="nil"/>
            </w:tcBorders>
            <w:shd w:val="clear" w:color="auto" w:fill="auto"/>
          </w:tcPr>
          <w:p w:rsidR="0035591D" w:rsidRPr="00954457" w:rsidRDefault="0035591D" w:rsidP="0035591D">
            <w:pPr>
              <w:ind w:firstLine="258"/>
            </w:pPr>
            <w:r w:rsidRPr="00954457">
              <w:t>Housewive</w:t>
            </w:r>
          </w:p>
        </w:tc>
        <w:tc>
          <w:tcPr>
            <w:tcW w:w="0" w:type="auto"/>
            <w:tcBorders>
              <w:top w:val="nil"/>
              <w:bottom w:val="nil"/>
            </w:tcBorders>
            <w:shd w:val="clear" w:color="auto" w:fill="auto"/>
          </w:tcPr>
          <w:p w:rsidR="0035591D" w:rsidRPr="00954457" w:rsidRDefault="0014237F" w:rsidP="0035591D">
            <w:pPr>
              <w:jc w:val="center"/>
            </w:pPr>
            <w:r>
              <w:t>8</w:t>
            </w:r>
            <w:r w:rsidR="00985738">
              <w:t>(12</w:t>
            </w:r>
            <w:r w:rsidR="00985738">
              <w:rPr>
                <w:lang w:val="id-ID"/>
              </w:rPr>
              <w:t>.</w:t>
            </w:r>
            <w:r w:rsidR="0035591D" w:rsidRPr="00954457">
              <w:t>3)</w:t>
            </w:r>
          </w:p>
        </w:tc>
        <w:tc>
          <w:tcPr>
            <w:tcW w:w="0" w:type="auto"/>
            <w:tcBorders>
              <w:top w:val="nil"/>
              <w:bottom w:val="nil"/>
            </w:tcBorders>
            <w:shd w:val="clear" w:color="auto" w:fill="auto"/>
          </w:tcPr>
          <w:p w:rsidR="0035591D" w:rsidRPr="00954457" w:rsidRDefault="0014237F" w:rsidP="0035591D">
            <w:pPr>
              <w:jc w:val="center"/>
            </w:pPr>
            <w:r>
              <w:t>3</w:t>
            </w:r>
            <w:r w:rsidR="00985738">
              <w:t>(4</w:t>
            </w:r>
            <w:r w:rsidR="00985738">
              <w:rPr>
                <w:lang w:val="id-ID"/>
              </w:rPr>
              <w:t>.</w:t>
            </w:r>
            <w:r w:rsidR="0035591D" w:rsidRPr="00954457">
              <w:t>6)</w:t>
            </w:r>
          </w:p>
        </w:tc>
        <w:tc>
          <w:tcPr>
            <w:tcW w:w="1126" w:type="dxa"/>
            <w:tcBorders>
              <w:top w:val="nil"/>
              <w:bottom w:val="nil"/>
            </w:tcBorders>
            <w:shd w:val="clear" w:color="auto" w:fill="auto"/>
          </w:tcPr>
          <w:p w:rsidR="0035591D" w:rsidRPr="00954457" w:rsidRDefault="0014237F" w:rsidP="0035591D">
            <w:pPr>
              <w:jc w:val="center"/>
            </w:pPr>
            <w:r>
              <w:t>11</w:t>
            </w:r>
            <w:r w:rsidR="00985738">
              <w:t>(16</w:t>
            </w:r>
            <w:r w:rsidR="00985738">
              <w:rPr>
                <w:lang w:val="id-ID"/>
              </w:rPr>
              <w:t>.</w:t>
            </w:r>
            <w:r w:rsidR="0035591D" w:rsidRPr="00954457">
              <w:t>9)</w:t>
            </w:r>
          </w:p>
        </w:tc>
        <w:tc>
          <w:tcPr>
            <w:tcW w:w="0" w:type="auto"/>
            <w:tcBorders>
              <w:top w:val="nil"/>
              <w:bottom w:val="nil"/>
            </w:tcBorders>
            <w:shd w:val="clear" w:color="auto" w:fill="auto"/>
          </w:tcPr>
          <w:p w:rsidR="0035591D" w:rsidRPr="00954457" w:rsidRDefault="0035591D" w:rsidP="0035591D">
            <w:pPr>
              <w:jc w:val="center"/>
            </w:pPr>
          </w:p>
        </w:tc>
      </w:tr>
      <w:tr w:rsidR="0035591D" w:rsidRPr="0047059A" w:rsidTr="00B95409">
        <w:trPr>
          <w:jc w:val="center"/>
        </w:trPr>
        <w:tc>
          <w:tcPr>
            <w:tcW w:w="2408" w:type="dxa"/>
            <w:tcBorders>
              <w:top w:val="nil"/>
              <w:bottom w:val="nil"/>
            </w:tcBorders>
            <w:shd w:val="clear" w:color="auto" w:fill="auto"/>
          </w:tcPr>
          <w:p w:rsidR="0035591D" w:rsidRPr="00954457" w:rsidRDefault="0035591D" w:rsidP="0035591D">
            <w:pPr>
              <w:ind w:firstLine="258"/>
            </w:pPr>
            <w:r w:rsidRPr="00954457">
              <w:t>Enterpreneur</w:t>
            </w:r>
          </w:p>
        </w:tc>
        <w:tc>
          <w:tcPr>
            <w:tcW w:w="0" w:type="auto"/>
            <w:tcBorders>
              <w:top w:val="nil"/>
              <w:bottom w:val="nil"/>
            </w:tcBorders>
            <w:shd w:val="clear" w:color="auto" w:fill="auto"/>
          </w:tcPr>
          <w:p w:rsidR="0035591D" w:rsidRPr="00954457" w:rsidRDefault="0014237F" w:rsidP="0035591D">
            <w:pPr>
              <w:jc w:val="center"/>
            </w:pPr>
            <w:r>
              <w:t>26</w:t>
            </w:r>
            <w:r w:rsidR="00985738">
              <w:t>(40</w:t>
            </w:r>
            <w:r w:rsidR="00985738">
              <w:rPr>
                <w:lang w:val="id-ID"/>
              </w:rPr>
              <w:t>.</w:t>
            </w:r>
            <w:r w:rsidR="0035591D" w:rsidRPr="00954457">
              <w:t>0)</w:t>
            </w:r>
          </w:p>
        </w:tc>
        <w:tc>
          <w:tcPr>
            <w:tcW w:w="0" w:type="auto"/>
            <w:tcBorders>
              <w:top w:val="nil"/>
              <w:bottom w:val="nil"/>
            </w:tcBorders>
            <w:shd w:val="clear" w:color="auto" w:fill="auto"/>
          </w:tcPr>
          <w:p w:rsidR="0035591D" w:rsidRPr="00954457" w:rsidRDefault="0014237F" w:rsidP="0035591D">
            <w:pPr>
              <w:jc w:val="center"/>
            </w:pPr>
            <w:r>
              <w:t>8</w:t>
            </w:r>
            <w:r w:rsidR="00985738">
              <w:t>(12</w:t>
            </w:r>
            <w:r w:rsidR="00985738">
              <w:rPr>
                <w:lang w:val="id-ID"/>
              </w:rPr>
              <w:t>.</w:t>
            </w:r>
            <w:r w:rsidR="0035591D" w:rsidRPr="00954457">
              <w:t>3)</w:t>
            </w:r>
          </w:p>
        </w:tc>
        <w:tc>
          <w:tcPr>
            <w:tcW w:w="1126" w:type="dxa"/>
            <w:tcBorders>
              <w:top w:val="nil"/>
              <w:bottom w:val="nil"/>
            </w:tcBorders>
            <w:shd w:val="clear" w:color="auto" w:fill="auto"/>
          </w:tcPr>
          <w:p w:rsidR="0035591D" w:rsidRPr="00954457" w:rsidRDefault="0014237F" w:rsidP="0035591D">
            <w:pPr>
              <w:jc w:val="center"/>
            </w:pPr>
            <w:r>
              <w:t>34</w:t>
            </w:r>
            <w:r w:rsidR="00985738">
              <w:t>(52</w:t>
            </w:r>
            <w:r w:rsidR="00985738">
              <w:rPr>
                <w:lang w:val="id-ID"/>
              </w:rPr>
              <w:t>.</w:t>
            </w:r>
            <w:r w:rsidR="0035591D" w:rsidRPr="00954457">
              <w:t>3)</w:t>
            </w:r>
          </w:p>
        </w:tc>
        <w:tc>
          <w:tcPr>
            <w:tcW w:w="0" w:type="auto"/>
            <w:tcBorders>
              <w:top w:val="nil"/>
              <w:bottom w:val="nil"/>
            </w:tcBorders>
            <w:shd w:val="clear" w:color="auto" w:fill="auto"/>
          </w:tcPr>
          <w:p w:rsidR="0035591D" w:rsidRPr="00954457" w:rsidRDefault="0035591D" w:rsidP="0035591D">
            <w:pPr>
              <w:jc w:val="center"/>
            </w:pPr>
          </w:p>
        </w:tc>
      </w:tr>
      <w:tr w:rsidR="0035591D" w:rsidRPr="0047059A" w:rsidTr="00B95409">
        <w:trPr>
          <w:jc w:val="center"/>
        </w:trPr>
        <w:tc>
          <w:tcPr>
            <w:tcW w:w="2408" w:type="dxa"/>
            <w:tcBorders>
              <w:top w:val="nil"/>
              <w:bottom w:val="nil"/>
            </w:tcBorders>
            <w:shd w:val="clear" w:color="auto" w:fill="auto"/>
          </w:tcPr>
          <w:p w:rsidR="0035591D" w:rsidRPr="00954457" w:rsidRDefault="0035591D" w:rsidP="00B95409">
            <w:r w:rsidRPr="00954457">
              <w:t>Income, n (%)</w:t>
            </w:r>
          </w:p>
        </w:tc>
        <w:tc>
          <w:tcPr>
            <w:tcW w:w="0" w:type="auto"/>
            <w:tcBorders>
              <w:top w:val="nil"/>
              <w:bottom w:val="nil"/>
            </w:tcBorders>
            <w:shd w:val="clear" w:color="auto" w:fill="auto"/>
          </w:tcPr>
          <w:p w:rsidR="0035591D" w:rsidRPr="00954457" w:rsidRDefault="0035591D" w:rsidP="0035591D">
            <w:pPr>
              <w:jc w:val="center"/>
            </w:pPr>
          </w:p>
        </w:tc>
        <w:tc>
          <w:tcPr>
            <w:tcW w:w="0" w:type="auto"/>
            <w:tcBorders>
              <w:top w:val="nil"/>
              <w:bottom w:val="nil"/>
            </w:tcBorders>
            <w:shd w:val="clear" w:color="auto" w:fill="auto"/>
          </w:tcPr>
          <w:p w:rsidR="0035591D" w:rsidRPr="00954457" w:rsidRDefault="0035591D" w:rsidP="0035591D">
            <w:pPr>
              <w:jc w:val="center"/>
            </w:pPr>
          </w:p>
        </w:tc>
        <w:tc>
          <w:tcPr>
            <w:tcW w:w="1126" w:type="dxa"/>
            <w:tcBorders>
              <w:top w:val="nil"/>
              <w:bottom w:val="nil"/>
            </w:tcBorders>
            <w:shd w:val="clear" w:color="auto" w:fill="auto"/>
          </w:tcPr>
          <w:p w:rsidR="0035591D" w:rsidRPr="00954457" w:rsidRDefault="0035591D" w:rsidP="0035591D">
            <w:pPr>
              <w:jc w:val="center"/>
            </w:pPr>
          </w:p>
        </w:tc>
        <w:tc>
          <w:tcPr>
            <w:tcW w:w="0" w:type="auto"/>
            <w:tcBorders>
              <w:top w:val="nil"/>
              <w:bottom w:val="nil"/>
            </w:tcBorders>
            <w:shd w:val="clear" w:color="auto" w:fill="auto"/>
          </w:tcPr>
          <w:p w:rsidR="0035591D" w:rsidRPr="00954457" w:rsidRDefault="00985738" w:rsidP="0035591D">
            <w:pPr>
              <w:jc w:val="center"/>
            </w:pPr>
            <w:r>
              <w:t>0</w:t>
            </w:r>
            <w:r>
              <w:rPr>
                <w:lang w:val="id-ID"/>
              </w:rPr>
              <w:t>.</w:t>
            </w:r>
            <w:r w:rsidR="0035591D" w:rsidRPr="00954457">
              <w:t>266</w:t>
            </w:r>
          </w:p>
        </w:tc>
      </w:tr>
      <w:tr w:rsidR="0035591D" w:rsidRPr="0047059A" w:rsidTr="00B95409">
        <w:trPr>
          <w:jc w:val="center"/>
        </w:trPr>
        <w:tc>
          <w:tcPr>
            <w:tcW w:w="2408" w:type="dxa"/>
            <w:tcBorders>
              <w:top w:val="nil"/>
              <w:bottom w:val="nil"/>
            </w:tcBorders>
            <w:shd w:val="clear" w:color="auto" w:fill="auto"/>
          </w:tcPr>
          <w:p w:rsidR="0035591D" w:rsidRPr="00954457" w:rsidRDefault="0035591D" w:rsidP="00B95409">
            <w:r w:rsidRPr="00954457">
              <w:t xml:space="preserve">    &lt; 1.000.000</w:t>
            </w:r>
          </w:p>
        </w:tc>
        <w:tc>
          <w:tcPr>
            <w:tcW w:w="0" w:type="auto"/>
            <w:tcBorders>
              <w:top w:val="nil"/>
              <w:bottom w:val="nil"/>
            </w:tcBorders>
            <w:shd w:val="clear" w:color="auto" w:fill="auto"/>
          </w:tcPr>
          <w:p w:rsidR="0035591D" w:rsidRPr="00954457" w:rsidRDefault="0014237F" w:rsidP="0035591D">
            <w:pPr>
              <w:jc w:val="center"/>
            </w:pPr>
            <w:r>
              <w:t>3</w:t>
            </w:r>
            <w:r w:rsidR="00985738">
              <w:t>(4</w:t>
            </w:r>
            <w:r w:rsidR="00985738">
              <w:rPr>
                <w:lang w:val="id-ID"/>
              </w:rPr>
              <w:t>.</w:t>
            </w:r>
            <w:r w:rsidR="0035591D" w:rsidRPr="00954457">
              <w:t>6)</w:t>
            </w:r>
          </w:p>
        </w:tc>
        <w:tc>
          <w:tcPr>
            <w:tcW w:w="0" w:type="auto"/>
            <w:tcBorders>
              <w:top w:val="nil"/>
              <w:bottom w:val="nil"/>
            </w:tcBorders>
            <w:shd w:val="clear" w:color="auto" w:fill="auto"/>
          </w:tcPr>
          <w:p w:rsidR="0035591D" w:rsidRPr="00954457" w:rsidRDefault="0014237F" w:rsidP="0035591D">
            <w:pPr>
              <w:jc w:val="center"/>
            </w:pPr>
            <w:r>
              <w:t>0</w:t>
            </w:r>
            <w:r w:rsidR="00985738">
              <w:t>(0</w:t>
            </w:r>
            <w:r w:rsidR="00985738">
              <w:rPr>
                <w:lang w:val="id-ID"/>
              </w:rPr>
              <w:t>.</w:t>
            </w:r>
            <w:r w:rsidR="0035591D" w:rsidRPr="00954457">
              <w:t>0)</w:t>
            </w:r>
          </w:p>
        </w:tc>
        <w:tc>
          <w:tcPr>
            <w:tcW w:w="1126" w:type="dxa"/>
            <w:tcBorders>
              <w:top w:val="nil"/>
              <w:bottom w:val="nil"/>
            </w:tcBorders>
            <w:shd w:val="clear" w:color="auto" w:fill="auto"/>
          </w:tcPr>
          <w:p w:rsidR="0035591D" w:rsidRPr="00954457" w:rsidRDefault="0014237F" w:rsidP="0035591D">
            <w:pPr>
              <w:jc w:val="center"/>
            </w:pPr>
            <w:r>
              <w:t>3</w:t>
            </w:r>
            <w:r w:rsidR="00985738">
              <w:t>(4</w:t>
            </w:r>
            <w:r w:rsidR="00985738">
              <w:rPr>
                <w:lang w:val="id-ID"/>
              </w:rPr>
              <w:t>.</w:t>
            </w:r>
            <w:r w:rsidR="0035591D" w:rsidRPr="00954457">
              <w:t>6)</w:t>
            </w:r>
          </w:p>
        </w:tc>
        <w:tc>
          <w:tcPr>
            <w:tcW w:w="0" w:type="auto"/>
            <w:tcBorders>
              <w:top w:val="nil"/>
              <w:bottom w:val="nil"/>
            </w:tcBorders>
            <w:shd w:val="clear" w:color="auto" w:fill="auto"/>
          </w:tcPr>
          <w:p w:rsidR="0035591D" w:rsidRPr="00954457" w:rsidRDefault="0035591D" w:rsidP="0035591D">
            <w:pPr>
              <w:jc w:val="center"/>
            </w:pPr>
          </w:p>
        </w:tc>
      </w:tr>
      <w:tr w:rsidR="0035591D" w:rsidRPr="0047059A" w:rsidTr="00B95409">
        <w:trPr>
          <w:jc w:val="center"/>
        </w:trPr>
        <w:tc>
          <w:tcPr>
            <w:tcW w:w="2408" w:type="dxa"/>
            <w:tcBorders>
              <w:top w:val="nil"/>
              <w:bottom w:val="nil"/>
            </w:tcBorders>
            <w:shd w:val="clear" w:color="auto" w:fill="auto"/>
          </w:tcPr>
          <w:p w:rsidR="0035591D" w:rsidRPr="00954457" w:rsidRDefault="0035591D" w:rsidP="00B95409">
            <w:r w:rsidRPr="00954457">
              <w:t xml:space="preserve">    1.000.000– 2.000.000</w:t>
            </w:r>
          </w:p>
        </w:tc>
        <w:tc>
          <w:tcPr>
            <w:tcW w:w="0" w:type="auto"/>
            <w:tcBorders>
              <w:top w:val="nil"/>
              <w:bottom w:val="nil"/>
            </w:tcBorders>
            <w:shd w:val="clear" w:color="auto" w:fill="auto"/>
          </w:tcPr>
          <w:p w:rsidR="0035591D" w:rsidRPr="00954457" w:rsidRDefault="0014237F" w:rsidP="0035591D">
            <w:pPr>
              <w:jc w:val="center"/>
            </w:pPr>
            <w:r>
              <w:t>38</w:t>
            </w:r>
            <w:r w:rsidR="00985738">
              <w:t>(58</w:t>
            </w:r>
            <w:r w:rsidR="00985738">
              <w:rPr>
                <w:lang w:val="id-ID"/>
              </w:rPr>
              <w:t>.</w:t>
            </w:r>
            <w:r w:rsidR="0035591D" w:rsidRPr="00954457">
              <w:t>5)</w:t>
            </w:r>
          </w:p>
        </w:tc>
        <w:tc>
          <w:tcPr>
            <w:tcW w:w="0" w:type="auto"/>
            <w:tcBorders>
              <w:top w:val="nil"/>
              <w:bottom w:val="nil"/>
            </w:tcBorders>
            <w:shd w:val="clear" w:color="auto" w:fill="auto"/>
          </w:tcPr>
          <w:p w:rsidR="0035591D" w:rsidRPr="00954457" w:rsidRDefault="0014237F" w:rsidP="0035591D">
            <w:pPr>
              <w:jc w:val="center"/>
            </w:pPr>
            <w:r>
              <w:t>11</w:t>
            </w:r>
            <w:r w:rsidR="00985738">
              <w:t>(16</w:t>
            </w:r>
            <w:r w:rsidR="00985738">
              <w:rPr>
                <w:lang w:val="id-ID"/>
              </w:rPr>
              <w:t>.</w:t>
            </w:r>
            <w:r w:rsidR="0035591D" w:rsidRPr="00954457">
              <w:t>9)</w:t>
            </w:r>
          </w:p>
        </w:tc>
        <w:tc>
          <w:tcPr>
            <w:tcW w:w="1126" w:type="dxa"/>
            <w:tcBorders>
              <w:top w:val="nil"/>
              <w:bottom w:val="nil"/>
            </w:tcBorders>
            <w:shd w:val="clear" w:color="auto" w:fill="auto"/>
          </w:tcPr>
          <w:p w:rsidR="0035591D" w:rsidRPr="00954457" w:rsidRDefault="0014237F" w:rsidP="0035591D">
            <w:pPr>
              <w:jc w:val="center"/>
            </w:pPr>
            <w:r>
              <w:t>49</w:t>
            </w:r>
            <w:r w:rsidR="00985738">
              <w:t>(75</w:t>
            </w:r>
            <w:r w:rsidR="00985738">
              <w:rPr>
                <w:lang w:val="id-ID"/>
              </w:rPr>
              <w:t>.</w:t>
            </w:r>
            <w:r w:rsidR="0035591D" w:rsidRPr="00954457">
              <w:t>4)</w:t>
            </w:r>
          </w:p>
        </w:tc>
        <w:tc>
          <w:tcPr>
            <w:tcW w:w="0" w:type="auto"/>
            <w:tcBorders>
              <w:top w:val="nil"/>
              <w:bottom w:val="nil"/>
            </w:tcBorders>
            <w:shd w:val="clear" w:color="auto" w:fill="auto"/>
          </w:tcPr>
          <w:p w:rsidR="0035591D" w:rsidRPr="00954457" w:rsidRDefault="0035591D" w:rsidP="0035591D">
            <w:pPr>
              <w:jc w:val="center"/>
            </w:pPr>
          </w:p>
        </w:tc>
      </w:tr>
      <w:tr w:rsidR="0035591D" w:rsidRPr="0047059A" w:rsidTr="00B95409">
        <w:trPr>
          <w:jc w:val="center"/>
        </w:trPr>
        <w:tc>
          <w:tcPr>
            <w:tcW w:w="2408" w:type="dxa"/>
            <w:tcBorders>
              <w:top w:val="nil"/>
              <w:bottom w:val="nil"/>
            </w:tcBorders>
            <w:shd w:val="clear" w:color="auto" w:fill="auto"/>
          </w:tcPr>
          <w:p w:rsidR="0035591D" w:rsidRPr="00954457" w:rsidRDefault="0035591D" w:rsidP="00B95409">
            <w:r w:rsidRPr="00954457">
              <w:t xml:space="preserve">     &gt; 2.000.000</w:t>
            </w:r>
          </w:p>
        </w:tc>
        <w:tc>
          <w:tcPr>
            <w:tcW w:w="0" w:type="auto"/>
            <w:tcBorders>
              <w:top w:val="nil"/>
              <w:bottom w:val="nil"/>
            </w:tcBorders>
            <w:shd w:val="clear" w:color="auto" w:fill="auto"/>
          </w:tcPr>
          <w:p w:rsidR="0035591D" w:rsidRPr="00954457" w:rsidRDefault="0014237F" w:rsidP="0035591D">
            <w:pPr>
              <w:jc w:val="center"/>
            </w:pPr>
            <w:r>
              <w:t>8</w:t>
            </w:r>
            <w:r w:rsidR="00985738">
              <w:t>(12</w:t>
            </w:r>
            <w:r w:rsidR="00985738">
              <w:rPr>
                <w:lang w:val="id-ID"/>
              </w:rPr>
              <w:t>.</w:t>
            </w:r>
            <w:r w:rsidR="0035591D" w:rsidRPr="00954457">
              <w:t>3)</w:t>
            </w:r>
          </w:p>
        </w:tc>
        <w:tc>
          <w:tcPr>
            <w:tcW w:w="0" w:type="auto"/>
            <w:tcBorders>
              <w:top w:val="nil"/>
              <w:bottom w:val="nil"/>
            </w:tcBorders>
            <w:shd w:val="clear" w:color="auto" w:fill="auto"/>
          </w:tcPr>
          <w:p w:rsidR="0035591D" w:rsidRPr="00954457" w:rsidRDefault="0014237F" w:rsidP="0035591D">
            <w:pPr>
              <w:jc w:val="center"/>
            </w:pPr>
            <w:r>
              <w:t>5</w:t>
            </w:r>
            <w:r w:rsidR="00985738">
              <w:t>(7</w:t>
            </w:r>
            <w:r w:rsidR="00985738">
              <w:rPr>
                <w:lang w:val="id-ID"/>
              </w:rPr>
              <w:t>.</w:t>
            </w:r>
            <w:r w:rsidR="0035591D" w:rsidRPr="00954457">
              <w:t>7)</w:t>
            </w:r>
          </w:p>
        </w:tc>
        <w:tc>
          <w:tcPr>
            <w:tcW w:w="1126" w:type="dxa"/>
            <w:tcBorders>
              <w:top w:val="nil"/>
              <w:bottom w:val="nil"/>
            </w:tcBorders>
            <w:shd w:val="clear" w:color="auto" w:fill="auto"/>
          </w:tcPr>
          <w:p w:rsidR="0035591D" w:rsidRPr="00954457" w:rsidRDefault="0014237F" w:rsidP="0035591D">
            <w:pPr>
              <w:jc w:val="center"/>
            </w:pPr>
            <w:r>
              <w:t>13</w:t>
            </w:r>
            <w:r w:rsidR="00985738">
              <w:t>(20</w:t>
            </w:r>
            <w:r w:rsidR="00985738">
              <w:rPr>
                <w:lang w:val="id-ID"/>
              </w:rPr>
              <w:t>.</w:t>
            </w:r>
            <w:r w:rsidR="0035591D" w:rsidRPr="00954457">
              <w:t>0)</w:t>
            </w:r>
          </w:p>
        </w:tc>
        <w:tc>
          <w:tcPr>
            <w:tcW w:w="0" w:type="auto"/>
            <w:tcBorders>
              <w:top w:val="nil"/>
              <w:bottom w:val="nil"/>
            </w:tcBorders>
            <w:shd w:val="clear" w:color="auto" w:fill="auto"/>
          </w:tcPr>
          <w:p w:rsidR="0035591D" w:rsidRPr="00954457" w:rsidRDefault="0035591D" w:rsidP="0035591D">
            <w:pPr>
              <w:jc w:val="center"/>
            </w:pPr>
          </w:p>
        </w:tc>
      </w:tr>
      <w:tr w:rsidR="0035591D" w:rsidRPr="0047059A" w:rsidTr="00B95409">
        <w:trPr>
          <w:jc w:val="center"/>
        </w:trPr>
        <w:tc>
          <w:tcPr>
            <w:tcW w:w="2408" w:type="dxa"/>
            <w:tcBorders>
              <w:top w:val="nil"/>
              <w:bottom w:val="nil"/>
            </w:tcBorders>
            <w:shd w:val="clear" w:color="auto" w:fill="auto"/>
          </w:tcPr>
          <w:p w:rsidR="0035591D" w:rsidRPr="00954457" w:rsidRDefault="0035591D" w:rsidP="00B95409">
            <w:r w:rsidRPr="00954457">
              <w:t>Education, n (%)</w:t>
            </w:r>
          </w:p>
        </w:tc>
        <w:tc>
          <w:tcPr>
            <w:tcW w:w="0" w:type="auto"/>
            <w:tcBorders>
              <w:top w:val="nil"/>
              <w:bottom w:val="nil"/>
            </w:tcBorders>
            <w:shd w:val="clear" w:color="auto" w:fill="auto"/>
          </w:tcPr>
          <w:p w:rsidR="0035591D" w:rsidRPr="00954457" w:rsidRDefault="0035591D" w:rsidP="0035591D">
            <w:pPr>
              <w:jc w:val="center"/>
            </w:pPr>
          </w:p>
        </w:tc>
        <w:tc>
          <w:tcPr>
            <w:tcW w:w="0" w:type="auto"/>
            <w:tcBorders>
              <w:top w:val="nil"/>
              <w:bottom w:val="nil"/>
            </w:tcBorders>
            <w:shd w:val="clear" w:color="auto" w:fill="auto"/>
          </w:tcPr>
          <w:p w:rsidR="0035591D" w:rsidRPr="00954457" w:rsidRDefault="0035591D" w:rsidP="0035591D">
            <w:pPr>
              <w:jc w:val="center"/>
            </w:pPr>
          </w:p>
        </w:tc>
        <w:tc>
          <w:tcPr>
            <w:tcW w:w="1126" w:type="dxa"/>
            <w:tcBorders>
              <w:top w:val="nil"/>
              <w:bottom w:val="nil"/>
            </w:tcBorders>
            <w:shd w:val="clear" w:color="auto" w:fill="auto"/>
          </w:tcPr>
          <w:p w:rsidR="0035591D" w:rsidRPr="00954457" w:rsidRDefault="0035591D" w:rsidP="0035591D">
            <w:pPr>
              <w:jc w:val="center"/>
            </w:pPr>
          </w:p>
        </w:tc>
        <w:tc>
          <w:tcPr>
            <w:tcW w:w="0" w:type="auto"/>
            <w:tcBorders>
              <w:top w:val="nil"/>
              <w:bottom w:val="nil"/>
            </w:tcBorders>
            <w:shd w:val="clear" w:color="auto" w:fill="auto"/>
          </w:tcPr>
          <w:p w:rsidR="0035591D" w:rsidRPr="00954457" w:rsidRDefault="00985738" w:rsidP="0035591D">
            <w:pPr>
              <w:jc w:val="center"/>
            </w:pPr>
            <w:r>
              <w:t>0</w:t>
            </w:r>
            <w:r>
              <w:rPr>
                <w:lang w:val="id-ID"/>
              </w:rPr>
              <w:t>.</w:t>
            </w:r>
            <w:r w:rsidR="0035591D" w:rsidRPr="00954457">
              <w:t>970</w:t>
            </w:r>
          </w:p>
        </w:tc>
      </w:tr>
      <w:tr w:rsidR="0035591D" w:rsidRPr="0047059A" w:rsidTr="00B95409">
        <w:trPr>
          <w:jc w:val="center"/>
        </w:trPr>
        <w:tc>
          <w:tcPr>
            <w:tcW w:w="2408" w:type="dxa"/>
            <w:tcBorders>
              <w:top w:val="nil"/>
              <w:bottom w:val="nil"/>
            </w:tcBorders>
            <w:shd w:val="clear" w:color="auto" w:fill="auto"/>
          </w:tcPr>
          <w:p w:rsidR="0035591D" w:rsidRPr="00954457" w:rsidRDefault="0035591D" w:rsidP="0035591D">
            <w:pPr>
              <w:ind w:firstLine="258"/>
            </w:pPr>
            <w:r w:rsidRPr="00954457">
              <w:t>Elementary school</w:t>
            </w:r>
          </w:p>
        </w:tc>
        <w:tc>
          <w:tcPr>
            <w:tcW w:w="0" w:type="auto"/>
            <w:tcBorders>
              <w:top w:val="nil"/>
              <w:bottom w:val="nil"/>
            </w:tcBorders>
            <w:shd w:val="clear" w:color="auto" w:fill="auto"/>
          </w:tcPr>
          <w:p w:rsidR="0035591D" w:rsidRPr="00954457" w:rsidRDefault="0014237F" w:rsidP="0035591D">
            <w:pPr>
              <w:jc w:val="center"/>
            </w:pPr>
            <w:r>
              <w:t>5</w:t>
            </w:r>
            <w:r w:rsidR="00985738">
              <w:t>(7</w:t>
            </w:r>
            <w:r w:rsidR="00985738">
              <w:rPr>
                <w:lang w:val="id-ID"/>
              </w:rPr>
              <w:t>.</w:t>
            </w:r>
            <w:r w:rsidR="0035591D" w:rsidRPr="00954457">
              <w:t>7)</w:t>
            </w:r>
          </w:p>
        </w:tc>
        <w:tc>
          <w:tcPr>
            <w:tcW w:w="0" w:type="auto"/>
            <w:tcBorders>
              <w:top w:val="nil"/>
              <w:bottom w:val="nil"/>
            </w:tcBorders>
            <w:shd w:val="clear" w:color="auto" w:fill="auto"/>
          </w:tcPr>
          <w:p w:rsidR="0035591D" w:rsidRPr="00954457" w:rsidRDefault="0014237F" w:rsidP="0035591D">
            <w:pPr>
              <w:jc w:val="center"/>
            </w:pPr>
            <w:r>
              <w:t>0</w:t>
            </w:r>
            <w:r w:rsidR="00985738">
              <w:t>(0</w:t>
            </w:r>
            <w:r w:rsidR="00985738">
              <w:rPr>
                <w:lang w:val="id-ID"/>
              </w:rPr>
              <w:t>.</w:t>
            </w:r>
            <w:r w:rsidR="0035591D" w:rsidRPr="00954457">
              <w:t>0)</w:t>
            </w:r>
          </w:p>
        </w:tc>
        <w:tc>
          <w:tcPr>
            <w:tcW w:w="1126" w:type="dxa"/>
            <w:tcBorders>
              <w:top w:val="nil"/>
              <w:bottom w:val="nil"/>
            </w:tcBorders>
            <w:shd w:val="clear" w:color="auto" w:fill="auto"/>
          </w:tcPr>
          <w:p w:rsidR="0035591D" w:rsidRPr="00954457" w:rsidRDefault="0014237F" w:rsidP="0035591D">
            <w:pPr>
              <w:jc w:val="center"/>
            </w:pPr>
            <w:r>
              <w:t>5</w:t>
            </w:r>
            <w:r w:rsidR="00985738">
              <w:t>(7</w:t>
            </w:r>
            <w:r w:rsidR="00985738">
              <w:rPr>
                <w:lang w:val="id-ID"/>
              </w:rPr>
              <w:t>.</w:t>
            </w:r>
            <w:r w:rsidR="0035591D" w:rsidRPr="00954457">
              <w:t>7)</w:t>
            </w:r>
          </w:p>
        </w:tc>
        <w:tc>
          <w:tcPr>
            <w:tcW w:w="0" w:type="auto"/>
            <w:tcBorders>
              <w:top w:val="nil"/>
              <w:bottom w:val="nil"/>
            </w:tcBorders>
            <w:shd w:val="clear" w:color="auto" w:fill="auto"/>
          </w:tcPr>
          <w:p w:rsidR="0035591D" w:rsidRPr="00954457" w:rsidRDefault="0035591D" w:rsidP="0035591D">
            <w:pPr>
              <w:jc w:val="center"/>
            </w:pPr>
          </w:p>
        </w:tc>
      </w:tr>
      <w:tr w:rsidR="0035591D" w:rsidRPr="0047059A" w:rsidTr="00B95409">
        <w:trPr>
          <w:jc w:val="center"/>
        </w:trPr>
        <w:tc>
          <w:tcPr>
            <w:tcW w:w="2408" w:type="dxa"/>
            <w:tcBorders>
              <w:top w:val="nil"/>
              <w:bottom w:val="nil"/>
            </w:tcBorders>
            <w:shd w:val="clear" w:color="auto" w:fill="auto"/>
          </w:tcPr>
          <w:p w:rsidR="0035591D" w:rsidRPr="00954457" w:rsidRDefault="0035591D" w:rsidP="0035591D">
            <w:pPr>
              <w:ind w:firstLine="258"/>
            </w:pPr>
            <w:r w:rsidRPr="00954457">
              <w:t>Junior High school</w:t>
            </w:r>
          </w:p>
        </w:tc>
        <w:tc>
          <w:tcPr>
            <w:tcW w:w="0" w:type="auto"/>
            <w:tcBorders>
              <w:top w:val="nil"/>
              <w:bottom w:val="nil"/>
            </w:tcBorders>
            <w:shd w:val="clear" w:color="auto" w:fill="auto"/>
          </w:tcPr>
          <w:p w:rsidR="0035591D" w:rsidRPr="00954457" w:rsidRDefault="0014237F" w:rsidP="0035591D">
            <w:pPr>
              <w:jc w:val="center"/>
            </w:pPr>
            <w:r>
              <w:t>6</w:t>
            </w:r>
            <w:r w:rsidR="00985738">
              <w:t>(9</w:t>
            </w:r>
            <w:r w:rsidR="00985738">
              <w:rPr>
                <w:lang w:val="id-ID"/>
              </w:rPr>
              <w:t>.</w:t>
            </w:r>
            <w:r w:rsidR="0035591D" w:rsidRPr="00954457">
              <w:t>2)</w:t>
            </w:r>
          </w:p>
        </w:tc>
        <w:tc>
          <w:tcPr>
            <w:tcW w:w="0" w:type="auto"/>
            <w:tcBorders>
              <w:top w:val="nil"/>
              <w:bottom w:val="nil"/>
            </w:tcBorders>
            <w:shd w:val="clear" w:color="auto" w:fill="auto"/>
          </w:tcPr>
          <w:p w:rsidR="0035591D" w:rsidRPr="00954457" w:rsidRDefault="0014237F" w:rsidP="0035591D">
            <w:pPr>
              <w:jc w:val="center"/>
            </w:pPr>
            <w:r>
              <w:t>2</w:t>
            </w:r>
            <w:r w:rsidR="00985738">
              <w:t>(3</w:t>
            </w:r>
            <w:r w:rsidR="00985738">
              <w:rPr>
                <w:lang w:val="id-ID"/>
              </w:rPr>
              <w:t>.</w:t>
            </w:r>
            <w:r w:rsidR="0035591D" w:rsidRPr="00954457">
              <w:t>1)</w:t>
            </w:r>
          </w:p>
        </w:tc>
        <w:tc>
          <w:tcPr>
            <w:tcW w:w="1126" w:type="dxa"/>
            <w:tcBorders>
              <w:top w:val="nil"/>
              <w:bottom w:val="nil"/>
            </w:tcBorders>
            <w:shd w:val="clear" w:color="auto" w:fill="auto"/>
          </w:tcPr>
          <w:p w:rsidR="0035591D" w:rsidRPr="00954457" w:rsidRDefault="0014237F" w:rsidP="0035591D">
            <w:pPr>
              <w:jc w:val="center"/>
            </w:pPr>
            <w:r>
              <w:t>8</w:t>
            </w:r>
            <w:r w:rsidR="00985738">
              <w:t>(12</w:t>
            </w:r>
            <w:r w:rsidR="00985738">
              <w:rPr>
                <w:lang w:val="id-ID"/>
              </w:rPr>
              <w:t>.</w:t>
            </w:r>
            <w:r w:rsidR="0035591D" w:rsidRPr="00954457">
              <w:t>3)</w:t>
            </w:r>
          </w:p>
        </w:tc>
        <w:tc>
          <w:tcPr>
            <w:tcW w:w="0" w:type="auto"/>
            <w:tcBorders>
              <w:top w:val="nil"/>
              <w:bottom w:val="nil"/>
            </w:tcBorders>
            <w:shd w:val="clear" w:color="auto" w:fill="auto"/>
          </w:tcPr>
          <w:p w:rsidR="0035591D" w:rsidRPr="00954457" w:rsidRDefault="0035591D" w:rsidP="0035591D">
            <w:pPr>
              <w:jc w:val="center"/>
            </w:pPr>
          </w:p>
        </w:tc>
      </w:tr>
      <w:tr w:rsidR="0035591D" w:rsidRPr="0047059A" w:rsidTr="00B95409">
        <w:trPr>
          <w:jc w:val="center"/>
        </w:trPr>
        <w:tc>
          <w:tcPr>
            <w:tcW w:w="2408" w:type="dxa"/>
            <w:tcBorders>
              <w:top w:val="nil"/>
              <w:bottom w:val="nil"/>
            </w:tcBorders>
            <w:shd w:val="clear" w:color="auto" w:fill="auto"/>
          </w:tcPr>
          <w:p w:rsidR="0035591D" w:rsidRPr="00954457" w:rsidRDefault="0035591D" w:rsidP="0035591D">
            <w:pPr>
              <w:ind w:firstLine="258"/>
            </w:pPr>
            <w:r w:rsidRPr="00954457">
              <w:t>Senior High School</w:t>
            </w:r>
          </w:p>
        </w:tc>
        <w:tc>
          <w:tcPr>
            <w:tcW w:w="0" w:type="auto"/>
            <w:tcBorders>
              <w:top w:val="nil"/>
              <w:bottom w:val="nil"/>
            </w:tcBorders>
            <w:shd w:val="clear" w:color="auto" w:fill="auto"/>
          </w:tcPr>
          <w:p w:rsidR="0035591D" w:rsidRPr="00954457" w:rsidRDefault="0014237F" w:rsidP="0035591D">
            <w:pPr>
              <w:jc w:val="center"/>
            </w:pPr>
            <w:r>
              <w:t>32</w:t>
            </w:r>
            <w:r w:rsidR="00985738">
              <w:t>(49</w:t>
            </w:r>
            <w:r w:rsidR="00985738">
              <w:rPr>
                <w:lang w:val="id-ID"/>
              </w:rPr>
              <w:t>.</w:t>
            </w:r>
            <w:r w:rsidR="0035591D" w:rsidRPr="00954457">
              <w:t>2)</w:t>
            </w:r>
          </w:p>
        </w:tc>
        <w:tc>
          <w:tcPr>
            <w:tcW w:w="0" w:type="auto"/>
            <w:tcBorders>
              <w:top w:val="nil"/>
              <w:bottom w:val="nil"/>
            </w:tcBorders>
            <w:shd w:val="clear" w:color="auto" w:fill="auto"/>
          </w:tcPr>
          <w:p w:rsidR="0035591D" w:rsidRPr="00954457" w:rsidRDefault="0014237F" w:rsidP="0035591D">
            <w:pPr>
              <w:jc w:val="center"/>
            </w:pPr>
            <w:r>
              <w:t>8</w:t>
            </w:r>
            <w:r w:rsidR="00985738">
              <w:t>(12</w:t>
            </w:r>
            <w:r w:rsidR="00985738">
              <w:rPr>
                <w:lang w:val="id-ID"/>
              </w:rPr>
              <w:t>.</w:t>
            </w:r>
            <w:r w:rsidR="0035591D" w:rsidRPr="00954457">
              <w:t>3)</w:t>
            </w:r>
          </w:p>
        </w:tc>
        <w:tc>
          <w:tcPr>
            <w:tcW w:w="1126" w:type="dxa"/>
            <w:tcBorders>
              <w:top w:val="nil"/>
              <w:bottom w:val="nil"/>
            </w:tcBorders>
            <w:shd w:val="clear" w:color="auto" w:fill="auto"/>
          </w:tcPr>
          <w:p w:rsidR="0035591D" w:rsidRPr="00954457" w:rsidRDefault="0014237F" w:rsidP="0035591D">
            <w:pPr>
              <w:jc w:val="center"/>
            </w:pPr>
            <w:r>
              <w:t>40</w:t>
            </w:r>
            <w:r w:rsidR="00985738">
              <w:t>(61</w:t>
            </w:r>
            <w:r w:rsidR="00985738">
              <w:rPr>
                <w:lang w:val="id-ID"/>
              </w:rPr>
              <w:t>.</w:t>
            </w:r>
            <w:r w:rsidR="0035591D" w:rsidRPr="00954457">
              <w:t>5)</w:t>
            </w:r>
          </w:p>
        </w:tc>
        <w:tc>
          <w:tcPr>
            <w:tcW w:w="0" w:type="auto"/>
            <w:tcBorders>
              <w:top w:val="nil"/>
              <w:bottom w:val="nil"/>
            </w:tcBorders>
            <w:shd w:val="clear" w:color="auto" w:fill="auto"/>
          </w:tcPr>
          <w:p w:rsidR="0035591D" w:rsidRPr="00954457" w:rsidRDefault="0035591D" w:rsidP="0035591D">
            <w:pPr>
              <w:jc w:val="center"/>
            </w:pPr>
          </w:p>
        </w:tc>
      </w:tr>
      <w:tr w:rsidR="0035591D" w:rsidRPr="0047059A" w:rsidTr="00B95409">
        <w:trPr>
          <w:jc w:val="center"/>
        </w:trPr>
        <w:tc>
          <w:tcPr>
            <w:tcW w:w="2408" w:type="dxa"/>
            <w:tcBorders>
              <w:top w:val="nil"/>
              <w:bottom w:val="nil"/>
            </w:tcBorders>
            <w:shd w:val="clear" w:color="auto" w:fill="auto"/>
          </w:tcPr>
          <w:p w:rsidR="0035591D" w:rsidRPr="00954457" w:rsidRDefault="0035591D" w:rsidP="0035591D">
            <w:pPr>
              <w:ind w:firstLine="258"/>
            </w:pPr>
            <w:r w:rsidRPr="00954457">
              <w:t>College</w:t>
            </w:r>
          </w:p>
        </w:tc>
        <w:tc>
          <w:tcPr>
            <w:tcW w:w="0" w:type="auto"/>
            <w:tcBorders>
              <w:top w:val="nil"/>
              <w:bottom w:val="nil"/>
            </w:tcBorders>
            <w:shd w:val="clear" w:color="auto" w:fill="auto"/>
          </w:tcPr>
          <w:p w:rsidR="0035591D" w:rsidRPr="00954457" w:rsidRDefault="0014237F" w:rsidP="0035591D">
            <w:pPr>
              <w:jc w:val="center"/>
            </w:pPr>
            <w:r>
              <w:t>3</w:t>
            </w:r>
            <w:r w:rsidR="00985738">
              <w:t>(4</w:t>
            </w:r>
            <w:r w:rsidR="00985738">
              <w:rPr>
                <w:lang w:val="id-ID"/>
              </w:rPr>
              <w:t>.</w:t>
            </w:r>
            <w:r w:rsidR="0035591D" w:rsidRPr="00954457">
              <w:t>6)</w:t>
            </w:r>
          </w:p>
        </w:tc>
        <w:tc>
          <w:tcPr>
            <w:tcW w:w="0" w:type="auto"/>
            <w:tcBorders>
              <w:top w:val="nil"/>
              <w:bottom w:val="nil"/>
            </w:tcBorders>
            <w:shd w:val="clear" w:color="auto" w:fill="auto"/>
          </w:tcPr>
          <w:p w:rsidR="0035591D" w:rsidRPr="00954457" w:rsidRDefault="0014237F" w:rsidP="0035591D">
            <w:pPr>
              <w:jc w:val="center"/>
            </w:pPr>
            <w:r>
              <w:t>0</w:t>
            </w:r>
            <w:r w:rsidR="00985738">
              <w:t>(0</w:t>
            </w:r>
            <w:r w:rsidR="00985738">
              <w:rPr>
                <w:lang w:val="id-ID"/>
              </w:rPr>
              <w:t>.</w:t>
            </w:r>
            <w:r w:rsidR="0035591D" w:rsidRPr="00954457">
              <w:t>0)</w:t>
            </w:r>
          </w:p>
        </w:tc>
        <w:tc>
          <w:tcPr>
            <w:tcW w:w="1126" w:type="dxa"/>
            <w:tcBorders>
              <w:top w:val="nil"/>
              <w:bottom w:val="nil"/>
            </w:tcBorders>
            <w:shd w:val="clear" w:color="auto" w:fill="auto"/>
          </w:tcPr>
          <w:p w:rsidR="0035591D" w:rsidRPr="00954457" w:rsidRDefault="0014237F" w:rsidP="0035591D">
            <w:pPr>
              <w:jc w:val="center"/>
            </w:pPr>
            <w:r>
              <w:t>3</w:t>
            </w:r>
            <w:r w:rsidR="00985738">
              <w:t>(4</w:t>
            </w:r>
            <w:r w:rsidR="00985738">
              <w:rPr>
                <w:lang w:val="id-ID"/>
              </w:rPr>
              <w:t>.</w:t>
            </w:r>
            <w:r w:rsidR="0035591D" w:rsidRPr="00954457">
              <w:t>6)</w:t>
            </w:r>
          </w:p>
        </w:tc>
        <w:tc>
          <w:tcPr>
            <w:tcW w:w="0" w:type="auto"/>
            <w:tcBorders>
              <w:top w:val="nil"/>
              <w:bottom w:val="nil"/>
            </w:tcBorders>
            <w:shd w:val="clear" w:color="auto" w:fill="auto"/>
          </w:tcPr>
          <w:p w:rsidR="0035591D" w:rsidRPr="00954457" w:rsidRDefault="0035591D" w:rsidP="0035591D">
            <w:pPr>
              <w:jc w:val="center"/>
            </w:pPr>
          </w:p>
        </w:tc>
      </w:tr>
      <w:tr w:rsidR="0035591D" w:rsidRPr="0047059A" w:rsidTr="00B95409">
        <w:trPr>
          <w:jc w:val="center"/>
        </w:trPr>
        <w:tc>
          <w:tcPr>
            <w:tcW w:w="2408" w:type="dxa"/>
            <w:tcBorders>
              <w:top w:val="nil"/>
              <w:bottom w:val="single" w:sz="4" w:space="0" w:color="auto"/>
            </w:tcBorders>
            <w:shd w:val="clear" w:color="auto" w:fill="auto"/>
          </w:tcPr>
          <w:p w:rsidR="0035591D" w:rsidRPr="00954457" w:rsidRDefault="0035591D" w:rsidP="0035591D">
            <w:pPr>
              <w:ind w:firstLine="258"/>
            </w:pPr>
            <w:r w:rsidRPr="00954457">
              <w:t>University</w:t>
            </w:r>
          </w:p>
        </w:tc>
        <w:tc>
          <w:tcPr>
            <w:tcW w:w="0" w:type="auto"/>
            <w:tcBorders>
              <w:top w:val="nil"/>
              <w:bottom w:val="single" w:sz="4" w:space="0" w:color="auto"/>
            </w:tcBorders>
            <w:shd w:val="clear" w:color="auto" w:fill="auto"/>
          </w:tcPr>
          <w:p w:rsidR="0035591D" w:rsidRPr="00954457" w:rsidRDefault="0014237F" w:rsidP="0035591D">
            <w:pPr>
              <w:jc w:val="center"/>
            </w:pPr>
            <w:r>
              <w:t>8</w:t>
            </w:r>
            <w:r w:rsidR="00985738">
              <w:t>(12</w:t>
            </w:r>
            <w:r w:rsidR="00985738">
              <w:rPr>
                <w:lang w:val="id-ID"/>
              </w:rPr>
              <w:t>.</w:t>
            </w:r>
            <w:r w:rsidR="0035591D" w:rsidRPr="00954457">
              <w:t>3)</w:t>
            </w:r>
          </w:p>
        </w:tc>
        <w:tc>
          <w:tcPr>
            <w:tcW w:w="0" w:type="auto"/>
            <w:tcBorders>
              <w:top w:val="nil"/>
              <w:bottom w:val="single" w:sz="4" w:space="0" w:color="auto"/>
            </w:tcBorders>
            <w:shd w:val="clear" w:color="auto" w:fill="auto"/>
          </w:tcPr>
          <w:p w:rsidR="0035591D" w:rsidRPr="00954457" w:rsidRDefault="0014237F" w:rsidP="0035591D">
            <w:pPr>
              <w:jc w:val="center"/>
            </w:pPr>
            <w:r>
              <w:t>1</w:t>
            </w:r>
            <w:r w:rsidR="00985738">
              <w:t>(1</w:t>
            </w:r>
            <w:r w:rsidR="00985738">
              <w:rPr>
                <w:lang w:val="id-ID"/>
              </w:rPr>
              <w:t>.</w:t>
            </w:r>
            <w:r w:rsidR="0035591D" w:rsidRPr="00954457">
              <w:t>5)</w:t>
            </w:r>
          </w:p>
        </w:tc>
        <w:tc>
          <w:tcPr>
            <w:tcW w:w="1126" w:type="dxa"/>
            <w:tcBorders>
              <w:top w:val="nil"/>
              <w:bottom w:val="single" w:sz="4" w:space="0" w:color="auto"/>
            </w:tcBorders>
            <w:shd w:val="clear" w:color="auto" w:fill="auto"/>
          </w:tcPr>
          <w:p w:rsidR="0035591D" w:rsidRPr="00954457" w:rsidRDefault="0014237F" w:rsidP="0035591D">
            <w:pPr>
              <w:jc w:val="center"/>
            </w:pPr>
            <w:r>
              <w:t>9</w:t>
            </w:r>
            <w:r w:rsidR="00985738">
              <w:t>(13</w:t>
            </w:r>
            <w:r w:rsidR="00985738">
              <w:rPr>
                <w:lang w:val="id-ID"/>
              </w:rPr>
              <w:t>.</w:t>
            </w:r>
            <w:r w:rsidR="0035591D" w:rsidRPr="00954457">
              <w:t>8)</w:t>
            </w:r>
          </w:p>
        </w:tc>
        <w:tc>
          <w:tcPr>
            <w:tcW w:w="0" w:type="auto"/>
            <w:tcBorders>
              <w:top w:val="nil"/>
              <w:bottom w:val="single" w:sz="4" w:space="0" w:color="auto"/>
            </w:tcBorders>
            <w:shd w:val="clear" w:color="auto" w:fill="auto"/>
          </w:tcPr>
          <w:p w:rsidR="0035591D" w:rsidRDefault="0035591D" w:rsidP="0035591D">
            <w:pPr>
              <w:jc w:val="center"/>
            </w:pPr>
          </w:p>
        </w:tc>
      </w:tr>
    </w:tbl>
    <w:p w:rsidR="0035591D" w:rsidRDefault="0035591D" w:rsidP="0035591D">
      <w:pPr>
        <w:ind w:firstLine="851"/>
      </w:pPr>
      <w:proofErr w:type="gramStart"/>
      <w:r>
        <w:t>x</w:t>
      </w:r>
      <w:proofErr w:type="gramEnd"/>
      <w:r>
        <w:t xml:space="preserve"> ̄± SD = average ± standard deviation</w:t>
      </w:r>
    </w:p>
    <w:p w:rsidR="0035591D" w:rsidRDefault="0035591D" w:rsidP="0035591D">
      <w:pPr>
        <w:ind w:firstLine="851"/>
      </w:pPr>
      <w:r>
        <w:t>n = number</w:t>
      </w:r>
      <w:proofErr w:type="gramStart"/>
      <w:r>
        <w:t>,%</w:t>
      </w:r>
      <w:proofErr w:type="gramEnd"/>
      <w:r>
        <w:t xml:space="preserve"> = percentage</w:t>
      </w:r>
    </w:p>
    <w:p w:rsidR="00AA7229" w:rsidRDefault="0014237F" w:rsidP="0035591D">
      <w:pPr>
        <w:ind w:firstLine="851"/>
      </w:pPr>
      <w:r>
        <w:t>* p</w:t>
      </w:r>
      <w:r w:rsidR="00985738">
        <w:t>&lt;0</w:t>
      </w:r>
      <w:r w:rsidR="00985738">
        <w:rPr>
          <w:lang w:val="id-ID"/>
        </w:rPr>
        <w:t>.</w:t>
      </w:r>
      <w:r w:rsidR="0035591D">
        <w:t>05 using the Kaplan-</w:t>
      </w:r>
      <w:r w:rsidR="00107694">
        <w:t>M</w:t>
      </w:r>
      <w:r w:rsidR="0035591D">
        <w:t>ier test with the log rank method</w:t>
      </w:r>
    </w:p>
    <w:p w:rsidR="00681DBA" w:rsidRDefault="00681DBA" w:rsidP="0035591D">
      <w:pPr>
        <w:ind w:firstLine="851"/>
      </w:pPr>
    </w:p>
    <w:p w:rsidR="00107694" w:rsidRPr="00681DBA" w:rsidRDefault="00681DBA" w:rsidP="00681DBA">
      <w:pPr>
        <w:ind w:left="1560" w:hanging="709"/>
        <w:jc w:val="both"/>
        <w:rPr>
          <w:bCs/>
          <w:lang w:val="en-ID"/>
        </w:rPr>
      </w:pPr>
      <w:r w:rsidRPr="00681DBA">
        <w:rPr>
          <w:bCs/>
          <w:lang w:val="id-ID"/>
        </w:rPr>
        <w:t>Table 2</w:t>
      </w:r>
      <w:r>
        <w:rPr>
          <w:bCs/>
          <w:lang w:val="en-ID"/>
        </w:rPr>
        <w:t>. Association</w:t>
      </w:r>
      <w:r w:rsidRPr="00681DBA">
        <w:rPr>
          <w:bCs/>
          <w:lang w:val="id-ID"/>
        </w:rPr>
        <w:t xml:space="preserve"> between calcium supplementation dose and vegetable intake with the incidence of preeclampsia</w:t>
      </w:r>
    </w:p>
    <w:tbl>
      <w:tblPr>
        <w:tblW w:w="7153" w:type="dxa"/>
        <w:jc w:val="center"/>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077"/>
        <w:gridCol w:w="1180"/>
        <w:gridCol w:w="1795"/>
        <w:gridCol w:w="1173"/>
        <w:gridCol w:w="928"/>
      </w:tblGrid>
      <w:tr w:rsidR="00107694" w:rsidRPr="00D67B20" w:rsidTr="00681DBA">
        <w:trPr>
          <w:jc w:val="center"/>
        </w:trPr>
        <w:tc>
          <w:tcPr>
            <w:tcW w:w="2077" w:type="dxa"/>
            <w:vMerge w:val="restart"/>
            <w:tcBorders>
              <w:bottom w:val="single" w:sz="4" w:space="0" w:color="auto"/>
            </w:tcBorders>
            <w:shd w:val="clear" w:color="auto" w:fill="auto"/>
          </w:tcPr>
          <w:p w:rsidR="00107694" w:rsidRPr="00107694" w:rsidRDefault="00107694" w:rsidP="00107694">
            <w:pPr>
              <w:jc w:val="center"/>
              <w:rPr>
                <w:b/>
              </w:rPr>
            </w:pPr>
            <w:r w:rsidRPr="00107694">
              <w:rPr>
                <w:b/>
              </w:rPr>
              <w:t>Variable</w:t>
            </w:r>
          </w:p>
        </w:tc>
        <w:tc>
          <w:tcPr>
            <w:tcW w:w="2975" w:type="dxa"/>
            <w:gridSpan w:val="2"/>
            <w:tcBorders>
              <w:bottom w:val="single" w:sz="4" w:space="0" w:color="auto"/>
            </w:tcBorders>
            <w:shd w:val="clear" w:color="auto" w:fill="auto"/>
          </w:tcPr>
          <w:p w:rsidR="00107694" w:rsidRPr="00107694" w:rsidRDefault="00107694" w:rsidP="00107694">
            <w:pPr>
              <w:jc w:val="center"/>
              <w:rPr>
                <w:b/>
              </w:rPr>
            </w:pPr>
            <w:r w:rsidRPr="00107694">
              <w:rPr>
                <w:b/>
              </w:rPr>
              <w:t>Preeclamsia Incidence</w:t>
            </w:r>
          </w:p>
        </w:tc>
        <w:tc>
          <w:tcPr>
            <w:tcW w:w="1173" w:type="dxa"/>
            <w:vMerge w:val="restart"/>
            <w:tcBorders>
              <w:bottom w:val="single" w:sz="4" w:space="0" w:color="auto"/>
            </w:tcBorders>
            <w:shd w:val="clear" w:color="auto" w:fill="auto"/>
          </w:tcPr>
          <w:p w:rsidR="00107694" w:rsidRPr="00107694" w:rsidRDefault="00107694" w:rsidP="00107694">
            <w:pPr>
              <w:jc w:val="center"/>
              <w:rPr>
                <w:b/>
              </w:rPr>
            </w:pPr>
            <w:proofErr w:type="gramStart"/>
            <w:r w:rsidRPr="00107694">
              <w:rPr>
                <w:b/>
              </w:rPr>
              <w:t>Total(</w:t>
            </w:r>
            <w:proofErr w:type="gramEnd"/>
            <w:r w:rsidRPr="00107694">
              <w:rPr>
                <w:b/>
              </w:rPr>
              <w:t>%)</w:t>
            </w:r>
          </w:p>
        </w:tc>
        <w:tc>
          <w:tcPr>
            <w:tcW w:w="928" w:type="dxa"/>
            <w:vMerge w:val="restart"/>
            <w:tcBorders>
              <w:bottom w:val="single" w:sz="4" w:space="0" w:color="auto"/>
            </w:tcBorders>
            <w:shd w:val="clear" w:color="auto" w:fill="auto"/>
          </w:tcPr>
          <w:p w:rsidR="00107694" w:rsidRPr="00107694" w:rsidRDefault="00107694" w:rsidP="00107694">
            <w:pPr>
              <w:jc w:val="center"/>
              <w:rPr>
                <w:b/>
              </w:rPr>
            </w:pPr>
            <w:r w:rsidRPr="00107694">
              <w:rPr>
                <w:b/>
              </w:rPr>
              <w:t>P value</w:t>
            </w:r>
          </w:p>
        </w:tc>
      </w:tr>
      <w:tr w:rsidR="00D67B20" w:rsidRPr="00D67B20" w:rsidTr="00681DBA">
        <w:trPr>
          <w:jc w:val="center"/>
        </w:trPr>
        <w:tc>
          <w:tcPr>
            <w:tcW w:w="2077" w:type="dxa"/>
            <w:vMerge/>
            <w:tcBorders>
              <w:top w:val="single" w:sz="4" w:space="0" w:color="auto"/>
              <w:bottom w:val="single" w:sz="4" w:space="0" w:color="auto"/>
            </w:tcBorders>
            <w:shd w:val="clear" w:color="auto" w:fill="auto"/>
          </w:tcPr>
          <w:p w:rsidR="00D67B20" w:rsidRPr="00D67B20" w:rsidRDefault="00D67B20" w:rsidP="00EE2EAF">
            <w:pPr>
              <w:pStyle w:val="NoSpacing"/>
              <w:rPr>
                <w:rFonts w:ascii="Times New Roman" w:hAnsi="Times New Roman"/>
                <w:sz w:val="20"/>
                <w:szCs w:val="20"/>
              </w:rPr>
            </w:pPr>
          </w:p>
        </w:tc>
        <w:tc>
          <w:tcPr>
            <w:tcW w:w="1180" w:type="dxa"/>
            <w:tcBorders>
              <w:top w:val="single" w:sz="4" w:space="0" w:color="auto"/>
              <w:bottom w:val="single" w:sz="4" w:space="0" w:color="auto"/>
            </w:tcBorders>
            <w:shd w:val="clear" w:color="auto" w:fill="auto"/>
          </w:tcPr>
          <w:p w:rsidR="00D67B20" w:rsidRPr="00D67B20" w:rsidRDefault="00107694" w:rsidP="00EE2EAF">
            <w:pPr>
              <w:pStyle w:val="NoSpacing"/>
              <w:jc w:val="center"/>
              <w:rPr>
                <w:rFonts w:ascii="Times New Roman" w:hAnsi="Times New Roman"/>
                <w:b/>
                <w:sz w:val="20"/>
                <w:szCs w:val="20"/>
                <w:lang w:val="en-ID"/>
              </w:rPr>
            </w:pPr>
            <w:r>
              <w:rPr>
                <w:rFonts w:ascii="Times New Roman" w:hAnsi="Times New Roman"/>
                <w:b/>
                <w:sz w:val="20"/>
                <w:szCs w:val="20"/>
              </w:rPr>
              <w:t xml:space="preserve">No </w:t>
            </w:r>
          </w:p>
        </w:tc>
        <w:tc>
          <w:tcPr>
            <w:tcW w:w="1795" w:type="dxa"/>
            <w:tcBorders>
              <w:top w:val="single" w:sz="4" w:space="0" w:color="auto"/>
              <w:bottom w:val="single" w:sz="4" w:space="0" w:color="auto"/>
            </w:tcBorders>
            <w:shd w:val="clear" w:color="auto" w:fill="auto"/>
          </w:tcPr>
          <w:p w:rsidR="00D67B20" w:rsidRPr="00D67B20" w:rsidRDefault="00107694" w:rsidP="00EE2EAF">
            <w:pPr>
              <w:pStyle w:val="NoSpacing"/>
              <w:jc w:val="center"/>
              <w:rPr>
                <w:rFonts w:ascii="Times New Roman" w:hAnsi="Times New Roman"/>
                <w:b/>
                <w:sz w:val="20"/>
                <w:szCs w:val="20"/>
                <w:lang w:val="en-ID"/>
              </w:rPr>
            </w:pPr>
            <w:r>
              <w:rPr>
                <w:rFonts w:ascii="Times New Roman" w:hAnsi="Times New Roman"/>
                <w:b/>
                <w:sz w:val="20"/>
                <w:szCs w:val="20"/>
                <w:lang w:val="en-ID"/>
              </w:rPr>
              <w:t xml:space="preserve">Yes </w:t>
            </w:r>
          </w:p>
        </w:tc>
        <w:tc>
          <w:tcPr>
            <w:tcW w:w="1173" w:type="dxa"/>
            <w:vMerge/>
            <w:tcBorders>
              <w:top w:val="nil"/>
              <w:bottom w:val="single" w:sz="4" w:space="0" w:color="auto"/>
            </w:tcBorders>
            <w:shd w:val="clear" w:color="auto" w:fill="auto"/>
          </w:tcPr>
          <w:p w:rsidR="00D67B20" w:rsidRPr="00D67B20" w:rsidRDefault="00D67B20" w:rsidP="00EE2EAF">
            <w:pPr>
              <w:pStyle w:val="NoSpacing"/>
              <w:rPr>
                <w:rFonts w:ascii="Times New Roman" w:hAnsi="Times New Roman"/>
                <w:sz w:val="20"/>
                <w:szCs w:val="20"/>
              </w:rPr>
            </w:pPr>
          </w:p>
        </w:tc>
        <w:tc>
          <w:tcPr>
            <w:tcW w:w="928" w:type="dxa"/>
            <w:vMerge/>
            <w:tcBorders>
              <w:top w:val="nil"/>
              <w:bottom w:val="single" w:sz="4" w:space="0" w:color="auto"/>
            </w:tcBorders>
            <w:shd w:val="clear" w:color="auto" w:fill="auto"/>
          </w:tcPr>
          <w:p w:rsidR="00D67B20" w:rsidRPr="00D67B20" w:rsidRDefault="00D67B20" w:rsidP="00EE2EAF">
            <w:pPr>
              <w:pStyle w:val="NoSpacing"/>
              <w:rPr>
                <w:rFonts w:ascii="Times New Roman" w:hAnsi="Times New Roman"/>
                <w:sz w:val="20"/>
                <w:szCs w:val="20"/>
              </w:rPr>
            </w:pPr>
          </w:p>
        </w:tc>
      </w:tr>
      <w:tr w:rsidR="00107694" w:rsidRPr="00D67B20" w:rsidTr="00681DBA">
        <w:trPr>
          <w:jc w:val="center"/>
        </w:trPr>
        <w:tc>
          <w:tcPr>
            <w:tcW w:w="2077" w:type="dxa"/>
            <w:tcBorders>
              <w:top w:val="single" w:sz="4" w:space="0" w:color="auto"/>
              <w:bottom w:val="nil"/>
            </w:tcBorders>
            <w:shd w:val="clear" w:color="auto" w:fill="auto"/>
          </w:tcPr>
          <w:p w:rsidR="00107694" w:rsidRPr="00AB5116" w:rsidRDefault="00107694" w:rsidP="00B95409">
            <w:r w:rsidRPr="00AB5116">
              <w:t>Calcium Dose</w:t>
            </w:r>
          </w:p>
        </w:tc>
        <w:tc>
          <w:tcPr>
            <w:tcW w:w="1180" w:type="dxa"/>
            <w:tcBorders>
              <w:top w:val="single" w:sz="4" w:space="0" w:color="auto"/>
              <w:bottom w:val="nil"/>
            </w:tcBorders>
            <w:shd w:val="clear" w:color="auto" w:fill="auto"/>
          </w:tcPr>
          <w:p w:rsidR="00107694" w:rsidRPr="00AB5116" w:rsidRDefault="00107694" w:rsidP="00B95409"/>
        </w:tc>
        <w:tc>
          <w:tcPr>
            <w:tcW w:w="1795" w:type="dxa"/>
            <w:tcBorders>
              <w:top w:val="single" w:sz="4" w:space="0" w:color="auto"/>
              <w:bottom w:val="nil"/>
            </w:tcBorders>
            <w:shd w:val="clear" w:color="auto" w:fill="auto"/>
          </w:tcPr>
          <w:p w:rsidR="00107694" w:rsidRPr="00AB5116" w:rsidRDefault="00107694" w:rsidP="00B95409"/>
        </w:tc>
        <w:tc>
          <w:tcPr>
            <w:tcW w:w="1173" w:type="dxa"/>
            <w:tcBorders>
              <w:top w:val="single" w:sz="4" w:space="0" w:color="auto"/>
              <w:bottom w:val="nil"/>
            </w:tcBorders>
            <w:shd w:val="clear" w:color="auto" w:fill="auto"/>
          </w:tcPr>
          <w:p w:rsidR="00107694" w:rsidRPr="00AB5116" w:rsidRDefault="00107694" w:rsidP="00B95409"/>
        </w:tc>
        <w:tc>
          <w:tcPr>
            <w:tcW w:w="928" w:type="dxa"/>
            <w:tcBorders>
              <w:top w:val="single" w:sz="4" w:space="0" w:color="auto"/>
              <w:bottom w:val="nil"/>
            </w:tcBorders>
            <w:shd w:val="clear" w:color="auto" w:fill="auto"/>
          </w:tcPr>
          <w:p w:rsidR="00107694" w:rsidRPr="00AB5116" w:rsidRDefault="00985738" w:rsidP="00107694">
            <w:pPr>
              <w:jc w:val="center"/>
            </w:pPr>
            <w:r>
              <w:t>0</w:t>
            </w:r>
            <w:r>
              <w:rPr>
                <w:lang w:val="id-ID"/>
              </w:rPr>
              <w:t>.</w:t>
            </w:r>
            <w:r w:rsidR="00107694" w:rsidRPr="00AB5116">
              <w:t>007*</w:t>
            </w:r>
          </w:p>
        </w:tc>
      </w:tr>
      <w:tr w:rsidR="00107694" w:rsidRPr="00D67B20" w:rsidTr="00681DBA">
        <w:trPr>
          <w:jc w:val="center"/>
        </w:trPr>
        <w:tc>
          <w:tcPr>
            <w:tcW w:w="2077" w:type="dxa"/>
            <w:tcBorders>
              <w:top w:val="nil"/>
              <w:bottom w:val="nil"/>
            </w:tcBorders>
            <w:shd w:val="clear" w:color="auto" w:fill="auto"/>
          </w:tcPr>
          <w:p w:rsidR="00107694" w:rsidRPr="00AB5116" w:rsidRDefault="00107694" w:rsidP="00107694">
            <w:pPr>
              <w:ind w:firstLine="268"/>
            </w:pPr>
            <w:r w:rsidRPr="00AB5116">
              <w:t>Less</w:t>
            </w:r>
          </w:p>
        </w:tc>
        <w:tc>
          <w:tcPr>
            <w:tcW w:w="1180" w:type="dxa"/>
            <w:tcBorders>
              <w:top w:val="nil"/>
              <w:bottom w:val="nil"/>
            </w:tcBorders>
            <w:shd w:val="clear" w:color="auto" w:fill="auto"/>
          </w:tcPr>
          <w:p w:rsidR="00107694" w:rsidRPr="00AB5116" w:rsidRDefault="00985738" w:rsidP="00107694">
            <w:pPr>
              <w:jc w:val="center"/>
            </w:pPr>
            <w:r>
              <w:t>17(26</w:t>
            </w:r>
            <w:r>
              <w:rPr>
                <w:lang w:val="id-ID"/>
              </w:rPr>
              <w:t>.</w:t>
            </w:r>
            <w:r w:rsidR="00107694" w:rsidRPr="00AB5116">
              <w:t>2)</w:t>
            </w:r>
          </w:p>
        </w:tc>
        <w:tc>
          <w:tcPr>
            <w:tcW w:w="1795" w:type="dxa"/>
            <w:tcBorders>
              <w:top w:val="nil"/>
              <w:bottom w:val="nil"/>
            </w:tcBorders>
            <w:shd w:val="clear" w:color="auto" w:fill="auto"/>
          </w:tcPr>
          <w:p w:rsidR="00107694" w:rsidRPr="00AB5116" w:rsidRDefault="00985738" w:rsidP="00107694">
            <w:pPr>
              <w:jc w:val="center"/>
            </w:pPr>
            <w:r>
              <w:t>12(18</w:t>
            </w:r>
            <w:r>
              <w:rPr>
                <w:lang w:val="id-ID"/>
              </w:rPr>
              <w:t>.</w:t>
            </w:r>
            <w:r w:rsidR="00107694" w:rsidRPr="00AB5116">
              <w:t>5)</w:t>
            </w:r>
          </w:p>
        </w:tc>
        <w:tc>
          <w:tcPr>
            <w:tcW w:w="1173" w:type="dxa"/>
            <w:tcBorders>
              <w:top w:val="nil"/>
              <w:bottom w:val="nil"/>
            </w:tcBorders>
            <w:shd w:val="clear" w:color="auto" w:fill="auto"/>
          </w:tcPr>
          <w:p w:rsidR="00107694" w:rsidRPr="00AB5116" w:rsidRDefault="00985738" w:rsidP="00107694">
            <w:pPr>
              <w:jc w:val="center"/>
            </w:pPr>
            <w:r>
              <w:t>31(44</w:t>
            </w:r>
            <w:r>
              <w:rPr>
                <w:lang w:val="id-ID"/>
              </w:rPr>
              <w:t>.</w:t>
            </w:r>
            <w:r w:rsidR="00107694" w:rsidRPr="00AB5116">
              <w:t>6)</w:t>
            </w:r>
          </w:p>
        </w:tc>
        <w:tc>
          <w:tcPr>
            <w:tcW w:w="928" w:type="dxa"/>
            <w:tcBorders>
              <w:top w:val="nil"/>
              <w:bottom w:val="nil"/>
            </w:tcBorders>
            <w:shd w:val="clear" w:color="auto" w:fill="auto"/>
          </w:tcPr>
          <w:p w:rsidR="00107694" w:rsidRPr="00AB5116" w:rsidRDefault="00107694" w:rsidP="00107694">
            <w:pPr>
              <w:jc w:val="center"/>
            </w:pPr>
          </w:p>
        </w:tc>
      </w:tr>
      <w:tr w:rsidR="00107694" w:rsidRPr="00D67B20" w:rsidTr="00681DBA">
        <w:trPr>
          <w:jc w:val="center"/>
        </w:trPr>
        <w:tc>
          <w:tcPr>
            <w:tcW w:w="2077" w:type="dxa"/>
            <w:tcBorders>
              <w:top w:val="nil"/>
              <w:bottom w:val="nil"/>
            </w:tcBorders>
            <w:shd w:val="clear" w:color="auto" w:fill="auto"/>
          </w:tcPr>
          <w:p w:rsidR="00107694" w:rsidRPr="00AB5116" w:rsidRDefault="00107694" w:rsidP="00107694">
            <w:pPr>
              <w:ind w:firstLine="268"/>
            </w:pPr>
            <w:r w:rsidRPr="00AB5116">
              <w:t xml:space="preserve">Enough </w:t>
            </w:r>
          </w:p>
        </w:tc>
        <w:tc>
          <w:tcPr>
            <w:tcW w:w="1180" w:type="dxa"/>
            <w:tcBorders>
              <w:top w:val="nil"/>
              <w:bottom w:val="nil"/>
            </w:tcBorders>
            <w:shd w:val="clear" w:color="auto" w:fill="auto"/>
          </w:tcPr>
          <w:p w:rsidR="00107694" w:rsidRPr="00AB5116" w:rsidRDefault="00985738" w:rsidP="00107694">
            <w:pPr>
              <w:jc w:val="center"/>
            </w:pPr>
            <w:r>
              <w:t>32(49</w:t>
            </w:r>
            <w:r>
              <w:rPr>
                <w:lang w:val="id-ID"/>
              </w:rPr>
              <w:t>.</w:t>
            </w:r>
            <w:r w:rsidR="00107694" w:rsidRPr="00AB5116">
              <w:t>2)</w:t>
            </w:r>
          </w:p>
        </w:tc>
        <w:tc>
          <w:tcPr>
            <w:tcW w:w="1795" w:type="dxa"/>
            <w:tcBorders>
              <w:top w:val="nil"/>
              <w:bottom w:val="nil"/>
            </w:tcBorders>
            <w:shd w:val="clear" w:color="auto" w:fill="auto"/>
          </w:tcPr>
          <w:p w:rsidR="00107694" w:rsidRPr="00AB5116" w:rsidRDefault="00985738" w:rsidP="00107694">
            <w:pPr>
              <w:jc w:val="center"/>
            </w:pPr>
            <w:r>
              <w:t>4(6</w:t>
            </w:r>
            <w:r>
              <w:rPr>
                <w:lang w:val="id-ID"/>
              </w:rPr>
              <w:t>.</w:t>
            </w:r>
            <w:r w:rsidR="00107694" w:rsidRPr="00AB5116">
              <w:t>2)</w:t>
            </w:r>
          </w:p>
        </w:tc>
        <w:tc>
          <w:tcPr>
            <w:tcW w:w="1173" w:type="dxa"/>
            <w:tcBorders>
              <w:top w:val="nil"/>
              <w:bottom w:val="nil"/>
            </w:tcBorders>
            <w:shd w:val="clear" w:color="auto" w:fill="auto"/>
          </w:tcPr>
          <w:p w:rsidR="00107694" w:rsidRPr="00AB5116" w:rsidRDefault="00985738" w:rsidP="00107694">
            <w:pPr>
              <w:jc w:val="center"/>
            </w:pPr>
            <w:r>
              <w:t>34(55</w:t>
            </w:r>
            <w:r>
              <w:rPr>
                <w:lang w:val="id-ID"/>
              </w:rPr>
              <w:t>.</w:t>
            </w:r>
            <w:r w:rsidR="00107694" w:rsidRPr="00AB5116">
              <w:t>4)</w:t>
            </w:r>
          </w:p>
        </w:tc>
        <w:tc>
          <w:tcPr>
            <w:tcW w:w="928" w:type="dxa"/>
            <w:tcBorders>
              <w:top w:val="nil"/>
              <w:bottom w:val="nil"/>
            </w:tcBorders>
            <w:shd w:val="clear" w:color="auto" w:fill="auto"/>
          </w:tcPr>
          <w:p w:rsidR="00107694" w:rsidRPr="00AB5116" w:rsidRDefault="00107694" w:rsidP="00107694">
            <w:pPr>
              <w:jc w:val="center"/>
            </w:pPr>
          </w:p>
        </w:tc>
      </w:tr>
      <w:tr w:rsidR="00107694" w:rsidRPr="00D67B20" w:rsidTr="00681DBA">
        <w:trPr>
          <w:jc w:val="center"/>
        </w:trPr>
        <w:tc>
          <w:tcPr>
            <w:tcW w:w="2077" w:type="dxa"/>
            <w:tcBorders>
              <w:top w:val="nil"/>
              <w:bottom w:val="nil"/>
            </w:tcBorders>
            <w:shd w:val="clear" w:color="auto" w:fill="auto"/>
          </w:tcPr>
          <w:p w:rsidR="00107694" w:rsidRPr="00AB5116" w:rsidRDefault="00107694" w:rsidP="00B95409">
            <w:r w:rsidRPr="00AB5116">
              <w:t>Vegetable Intake</w:t>
            </w:r>
          </w:p>
        </w:tc>
        <w:tc>
          <w:tcPr>
            <w:tcW w:w="1180" w:type="dxa"/>
            <w:tcBorders>
              <w:top w:val="nil"/>
              <w:bottom w:val="nil"/>
            </w:tcBorders>
            <w:shd w:val="clear" w:color="auto" w:fill="auto"/>
          </w:tcPr>
          <w:p w:rsidR="00107694" w:rsidRPr="00AB5116" w:rsidRDefault="00107694" w:rsidP="00107694">
            <w:pPr>
              <w:jc w:val="center"/>
            </w:pPr>
          </w:p>
        </w:tc>
        <w:tc>
          <w:tcPr>
            <w:tcW w:w="1795" w:type="dxa"/>
            <w:tcBorders>
              <w:top w:val="nil"/>
              <w:bottom w:val="nil"/>
            </w:tcBorders>
            <w:shd w:val="clear" w:color="auto" w:fill="auto"/>
          </w:tcPr>
          <w:p w:rsidR="00107694" w:rsidRPr="00AB5116" w:rsidRDefault="00107694" w:rsidP="00107694">
            <w:pPr>
              <w:jc w:val="center"/>
            </w:pPr>
          </w:p>
        </w:tc>
        <w:tc>
          <w:tcPr>
            <w:tcW w:w="1173" w:type="dxa"/>
            <w:tcBorders>
              <w:top w:val="nil"/>
              <w:bottom w:val="nil"/>
            </w:tcBorders>
            <w:shd w:val="clear" w:color="auto" w:fill="auto"/>
          </w:tcPr>
          <w:p w:rsidR="00107694" w:rsidRPr="00AB5116" w:rsidRDefault="00107694" w:rsidP="00107694">
            <w:pPr>
              <w:jc w:val="center"/>
            </w:pPr>
          </w:p>
        </w:tc>
        <w:tc>
          <w:tcPr>
            <w:tcW w:w="928" w:type="dxa"/>
            <w:tcBorders>
              <w:top w:val="nil"/>
              <w:bottom w:val="nil"/>
            </w:tcBorders>
            <w:shd w:val="clear" w:color="auto" w:fill="auto"/>
          </w:tcPr>
          <w:p w:rsidR="00107694" w:rsidRPr="00AB5116" w:rsidRDefault="00985738" w:rsidP="00107694">
            <w:pPr>
              <w:jc w:val="center"/>
            </w:pPr>
            <w:r>
              <w:t>0</w:t>
            </w:r>
            <w:r>
              <w:rPr>
                <w:lang w:val="id-ID"/>
              </w:rPr>
              <w:t>.</w:t>
            </w:r>
            <w:r w:rsidR="00107694" w:rsidRPr="00AB5116">
              <w:t>007*</w:t>
            </w:r>
          </w:p>
        </w:tc>
      </w:tr>
      <w:tr w:rsidR="00107694" w:rsidRPr="00D67B20" w:rsidTr="00681DBA">
        <w:trPr>
          <w:jc w:val="center"/>
        </w:trPr>
        <w:tc>
          <w:tcPr>
            <w:tcW w:w="2077" w:type="dxa"/>
            <w:tcBorders>
              <w:top w:val="nil"/>
              <w:bottom w:val="nil"/>
            </w:tcBorders>
            <w:shd w:val="clear" w:color="auto" w:fill="auto"/>
          </w:tcPr>
          <w:p w:rsidR="00107694" w:rsidRPr="00AB5116" w:rsidRDefault="00107694" w:rsidP="00107694">
            <w:pPr>
              <w:ind w:firstLine="268"/>
            </w:pPr>
            <w:r w:rsidRPr="00AB5116">
              <w:t>Less</w:t>
            </w:r>
          </w:p>
        </w:tc>
        <w:tc>
          <w:tcPr>
            <w:tcW w:w="1180" w:type="dxa"/>
            <w:tcBorders>
              <w:top w:val="nil"/>
              <w:bottom w:val="nil"/>
            </w:tcBorders>
            <w:shd w:val="clear" w:color="auto" w:fill="auto"/>
          </w:tcPr>
          <w:p w:rsidR="00107694" w:rsidRPr="00AB5116" w:rsidRDefault="00985738" w:rsidP="00107694">
            <w:pPr>
              <w:jc w:val="center"/>
            </w:pPr>
            <w:r>
              <w:t>25(38</w:t>
            </w:r>
            <w:r>
              <w:rPr>
                <w:lang w:val="id-ID"/>
              </w:rPr>
              <w:t>.</w:t>
            </w:r>
            <w:r w:rsidR="00107694" w:rsidRPr="00AB5116">
              <w:t>5)</w:t>
            </w:r>
          </w:p>
        </w:tc>
        <w:tc>
          <w:tcPr>
            <w:tcW w:w="1795" w:type="dxa"/>
            <w:tcBorders>
              <w:top w:val="nil"/>
              <w:bottom w:val="nil"/>
            </w:tcBorders>
            <w:shd w:val="clear" w:color="auto" w:fill="auto"/>
          </w:tcPr>
          <w:p w:rsidR="00107694" w:rsidRPr="00AB5116" w:rsidRDefault="00985738" w:rsidP="00107694">
            <w:pPr>
              <w:jc w:val="center"/>
            </w:pPr>
            <w:r>
              <w:t>14(21</w:t>
            </w:r>
            <w:r>
              <w:rPr>
                <w:lang w:val="id-ID"/>
              </w:rPr>
              <w:t>.</w:t>
            </w:r>
            <w:r w:rsidR="00107694" w:rsidRPr="00AB5116">
              <w:t>5)</w:t>
            </w:r>
          </w:p>
        </w:tc>
        <w:tc>
          <w:tcPr>
            <w:tcW w:w="1173" w:type="dxa"/>
            <w:tcBorders>
              <w:top w:val="nil"/>
              <w:bottom w:val="nil"/>
            </w:tcBorders>
            <w:shd w:val="clear" w:color="auto" w:fill="auto"/>
          </w:tcPr>
          <w:p w:rsidR="00107694" w:rsidRPr="00AB5116" w:rsidRDefault="00985738" w:rsidP="00107694">
            <w:pPr>
              <w:jc w:val="center"/>
            </w:pPr>
            <w:r>
              <w:t>39(60</w:t>
            </w:r>
            <w:r>
              <w:rPr>
                <w:lang w:val="id-ID"/>
              </w:rPr>
              <w:t>.</w:t>
            </w:r>
            <w:r w:rsidR="00107694" w:rsidRPr="00AB5116">
              <w:t>0)</w:t>
            </w:r>
          </w:p>
        </w:tc>
        <w:tc>
          <w:tcPr>
            <w:tcW w:w="928" w:type="dxa"/>
            <w:tcBorders>
              <w:top w:val="nil"/>
              <w:bottom w:val="nil"/>
            </w:tcBorders>
            <w:shd w:val="clear" w:color="auto" w:fill="auto"/>
          </w:tcPr>
          <w:p w:rsidR="00107694" w:rsidRPr="00AB5116" w:rsidRDefault="00107694" w:rsidP="00107694">
            <w:pPr>
              <w:jc w:val="center"/>
            </w:pPr>
          </w:p>
        </w:tc>
      </w:tr>
      <w:tr w:rsidR="00107694" w:rsidRPr="00D67B20" w:rsidTr="00681DBA">
        <w:trPr>
          <w:jc w:val="center"/>
        </w:trPr>
        <w:tc>
          <w:tcPr>
            <w:tcW w:w="2077" w:type="dxa"/>
            <w:tcBorders>
              <w:top w:val="nil"/>
              <w:bottom w:val="single" w:sz="4" w:space="0" w:color="auto"/>
            </w:tcBorders>
            <w:shd w:val="clear" w:color="auto" w:fill="auto"/>
          </w:tcPr>
          <w:p w:rsidR="00107694" w:rsidRPr="00AB5116" w:rsidRDefault="00107694" w:rsidP="00107694">
            <w:pPr>
              <w:ind w:firstLine="268"/>
            </w:pPr>
            <w:r w:rsidRPr="00AB5116">
              <w:t xml:space="preserve">Enough </w:t>
            </w:r>
          </w:p>
        </w:tc>
        <w:tc>
          <w:tcPr>
            <w:tcW w:w="1180" w:type="dxa"/>
            <w:tcBorders>
              <w:top w:val="nil"/>
              <w:bottom w:val="single" w:sz="4" w:space="0" w:color="auto"/>
            </w:tcBorders>
            <w:shd w:val="clear" w:color="auto" w:fill="auto"/>
          </w:tcPr>
          <w:p w:rsidR="00107694" w:rsidRPr="00AB5116" w:rsidRDefault="00985738" w:rsidP="00107694">
            <w:pPr>
              <w:jc w:val="center"/>
            </w:pPr>
            <w:r>
              <w:t>24(36</w:t>
            </w:r>
            <w:r>
              <w:rPr>
                <w:lang w:val="id-ID"/>
              </w:rPr>
              <w:t>.</w:t>
            </w:r>
            <w:r w:rsidR="00107694" w:rsidRPr="00AB5116">
              <w:t>9)</w:t>
            </w:r>
          </w:p>
        </w:tc>
        <w:tc>
          <w:tcPr>
            <w:tcW w:w="1795" w:type="dxa"/>
            <w:tcBorders>
              <w:top w:val="nil"/>
              <w:bottom w:val="single" w:sz="4" w:space="0" w:color="auto"/>
            </w:tcBorders>
            <w:shd w:val="clear" w:color="auto" w:fill="auto"/>
          </w:tcPr>
          <w:p w:rsidR="00107694" w:rsidRPr="00AB5116" w:rsidRDefault="00985738" w:rsidP="00107694">
            <w:pPr>
              <w:jc w:val="center"/>
            </w:pPr>
            <w:r>
              <w:t>2(3</w:t>
            </w:r>
            <w:r>
              <w:rPr>
                <w:lang w:val="id-ID"/>
              </w:rPr>
              <w:t>.</w:t>
            </w:r>
            <w:r w:rsidR="00107694" w:rsidRPr="00AB5116">
              <w:t>1)</w:t>
            </w:r>
          </w:p>
        </w:tc>
        <w:tc>
          <w:tcPr>
            <w:tcW w:w="1173" w:type="dxa"/>
            <w:tcBorders>
              <w:top w:val="nil"/>
              <w:bottom w:val="single" w:sz="4" w:space="0" w:color="auto"/>
            </w:tcBorders>
            <w:shd w:val="clear" w:color="auto" w:fill="auto"/>
          </w:tcPr>
          <w:p w:rsidR="00107694" w:rsidRPr="00AB5116" w:rsidRDefault="00985738" w:rsidP="00107694">
            <w:pPr>
              <w:jc w:val="center"/>
            </w:pPr>
            <w:r>
              <w:t>26(40</w:t>
            </w:r>
            <w:r>
              <w:rPr>
                <w:lang w:val="id-ID"/>
              </w:rPr>
              <w:t>.</w:t>
            </w:r>
            <w:r w:rsidR="00107694" w:rsidRPr="00AB5116">
              <w:t>0)</w:t>
            </w:r>
          </w:p>
        </w:tc>
        <w:tc>
          <w:tcPr>
            <w:tcW w:w="928" w:type="dxa"/>
            <w:tcBorders>
              <w:top w:val="nil"/>
              <w:bottom w:val="single" w:sz="4" w:space="0" w:color="auto"/>
            </w:tcBorders>
            <w:shd w:val="clear" w:color="auto" w:fill="auto"/>
          </w:tcPr>
          <w:p w:rsidR="00107694" w:rsidRDefault="00107694" w:rsidP="00107694">
            <w:pPr>
              <w:jc w:val="center"/>
            </w:pPr>
          </w:p>
        </w:tc>
      </w:tr>
    </w:tbl>
    <w:p w:rsidR="00107694" w:rsidRDefault="00107694" w:rsidP="00B95409">
      <w:pPr>
        <w:ind w:firstLine="1134"/>
        <w:jc w:val="both"/>
      </w:pPr>
      <w:proofErr w:type="gramStart"/>
      <w:r>
        <w:t>x</w:t>
      </w:r>
      <w:proofErr w:type="gramEnd"/>
      <w:r>
        <w:t xml:space="preserve"> ̄± SD = average ± standard deviation</w:t>
      </w:r>
    </w:p>
    <w:p w:rsidR="00107694" w:rsidRDefault="00985738" w:rsidP="00B95409">
      <w:pPr>
        <w:spacing w:after="240"/>
        <w:ind w:firstLine="1134"/>
        <w:jc w:val="both"/>
      </w:pPr>
      <w:r>
        <w:t xml:space="preserve">* </w:t>
      </w:r>
      <w:r w:rsidR="00B95409" w:rsidRPr="00B95409">
        <w:rPr>
          <w:i/>
          <w:lang w:val="id-ID"/>
        </w:rPr>
        <w:t>p</w:t>
      </w:r>
      <w:r>
        <w:t>&lt;0</w:t>
      </w:r>
      <w:r>
        <w:rPr>
          <w:lang w:val="id-ID"/>
        </w:rPr>
        <w:t>.</w:t>
      </w:r>
      <w:r w:rsidR="00107694">
        <w:t>05 using the Kaplan-Mier test with the Log Rank methods</w:t>
      </w:r>
    </w:p>
    <w:p w:rsidR="00107694" w:rsidRDefault="00107694" w:rsidP="00107694">
      <w:pPr>
        <w:ind w:firstLine="720"/>
        <w:jc w:val="both"/>
      </w:pPr>
      <w:r>
        <w:t>To obtain a plot graph of the pregnant woman resilience to remains normal experiencing preeclampsia in the third trimester, both trimester III pregnant women take calcium supplements with adequate or less doses, the researchers used the survival function chart (Figure 1). The graph shows that the third trimester pregnant women who take enou</w:t>
      </w:r>
      <w:r w:rsidR="0014237F">
        <w:t>gh doses calcium supplements (≥</w:t>
      </w:r>
      <w:r w:rsidR="00F92525">
        <w:t>500 mg/</w:t>
      </w:r>
      <w:r>
        <w:t>day) had a survival rate higher than third trimester pregnant women who take calcium s</w:t>
      </w:r>
      <w:r w:rsidR="0014237F">
        <w:t>upplements at a less dose (˂ 500 mg/</w:t>
      </w:r>
      <w:r w:rsidR="005625DF">
        <w:t>day) (</w:t>
      </w:r>
      <w:r w:rsidR="00B8461D">
        <w:rPr>
          <w:lang w:val="id-ID"/>
        </w:rPr>
        <w:t>Figure</w:t>
      </w:r>
      <w:r>
        <w:t xml:space="preserve"> 1).</w:t>
      </w:r>
    </w:p>
    <w:p w:rsidR="00B77D69" w:rsidRDefault="00107694" w:rsidP="00107694">
      <w:pPr>
        <w:ind w:firstLine="720"/>
        <w:jc w:val="both"/>
        <w:rPr>
          <w:lang w:val="id-ID"/>
        </w:rPr>
      </w:pPr>
      <w:r>
        <w:t xml:space="preserve">Low calcium intake causes an increase in parathyroid hormone (PTH) and renin, so it will causes an increase in intracellular calcium, vasoconstriction and hypertension. Extracellular calcium density will increase according to increased calcium intake and will reduce the secretion of nitric oxide (NO) produced by vascular endothelium. The </w:t>
      </w:r>
      <w:proofErr w:type="gramStart"/>
      <w:r>
        <w:t>role of calcium suppleme</w:t>
      </w:r>
      <w:r w:rsidR="00B8461D">
        <w:t>ntation in reducing the symptom</w:t>
      </w:r>
      <w:r>
        <w:t xml:space="preserve"> of preeklamsia such as hypertension is by the release of intr</w:t>
      </w:r>
      <w:r w:rsidR="00B8461D">
        <w:t>acellular calcium concentration</w:t>
      </w:r>
      <w:r>
        <w:t>, reducing the smooth muscle contractility and promote</w:t>
      </w:r>
      <w:proofErr w:type="gramEnd"/>
      <w:r>
        <w:t xml:space="preserve"> vasodilation [8].</w:t>
      </w:r>
    </w:p>
    <w:p w:rsidR="003E5D03" w:rsidRDefault="00C92DD8" w:rsidP="00B77D69">
      <w:pPr>
        <w:autoSpaceDE w:val="0"/>
        <w:autoSpaceDN w:val="0"/>
        <w:adjustRightInd w:val="0"/>
        <w:jc w:val="center"/>
        <w:rPr>
          <w:sz w:val="24"/>
          <w:szCs w:val="24"/>
          <w:lang w:val="id-ID"/>
        </w:rPr>
      </w:pPr>
      <w:r>
        <w:rPr>
          <w:noProof/>
          <w:sz w:val="24"/>
          <w:szCs w:val="24"/>
          <w:lang w:val="id-ID" w:eastAsia="id-ID"/>
        </w:rPr>
        <w:lastRenderedPageBreak/>
        <w:drawing>
          <wp:inline distT="0" distB="0" distL="0" distR="0" wp14:anchorId="26D7BC64" wp14:editId="3D63071E">
            <wp:extent cx="3369600" cy="269456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9600" cy="2694560"/>
                    </a:xfrm>
                    <a:prstGeom prst="rect">
                      <a:avLst/>
                    </a:prstGeom>
                    <a:noFill/>
                    <a:ln>
                      <a:noFill/>
                    </a:ln>
                  </pic:spPr>
                </pic:pic>
              </a:graphicData>
            </a:graphic>
          </wp:inline>
        </w:drawing>
      </w:r>
    </w:p>
    <w:p w:rsidR="003E5D03" w:rsidRDefault="00B8461D" w:rsidP="00C92DD8">
      <w:pPr>
        <w:autoSpaceDE w:val="0"/>
        <w:autoSpaceDN w:val="0"/>
        <w:adjustRightInd w:val="0"/>
        <w:ind w:left="2694" w:hanging="2694"/>
        <w:jc w:val="center"/>
        <w:rPr>
          <w:lang w:val="id-ID" w:eastAsia="id-ID"/>
        </w:rPr>
      </w:pPr>
      <w:r>
        <w:rPr>
          <w:lang w:eastAsia="id-ID"/>
        </w:rPr>
        <w:t>Figure 1.</w:t>
      </w:r>
      <w:r w:rsidR="00107694" w:rsidRPr="00107694">
        <w:rPr>
          <w:lang w:eastAsia="id-ID"/>
        </w:rPr>
        <w:t>Survival function graph of calcium supplementation dose in third trimester pregnant women.</w:t>
      </w:r>
    </w:p>
    <w:p w:rsidR="003E5D03" w:rsidRPr="003E5D03" w:rsidRDefault="003E5D03" w:rsidP="003E5D03">
      <w:pPr>
        <w:autoSpaceDE w:val="0"/>
        <w:autoSpaceDN w:val="0"/>
        <w:adjustRightInd w:val="0"/>
        <w:ind w:left="2694" w:hanging="1254"/>
        <w:rPr>
          <w:lang w:val="id-ID" w:eastAsia="id-ID"/>
        </w:rPr>
      </w:pPr>
    </w:p>
    <w:p w:rsidR="00107694" w:rsidRDefault="00107694" w:rsidP="00107694">
      <w:pPr>
        <w:autoSpaceDE w:val="0"/>
        <w:autoSpaceDN w:val="0"/>
        <w:adjustRightInd w:val="0"/>
        <w:ind w:firstLine="567"/>
        <w:jc w:val="both"/>
      </w:pPr>
      <w:r w:rsidRPr="00107694">
        <w:t>The reason pregnant women did not take calcium supplements in this study was that most of them said they felt nauseous after</w:t>
      </w:r>
      <w:r w:rsidR="00985738">
        <w:t xml:space="preserve"> taking calcium supplements (54</w:t>
      </w:r>
      <w:r w:rsidR="00985738">
        <w:rPr>
          <w:lang w:val="id-ID"/>
        </w:rPr>
        <w:t>.</w:t>
      </w:r>
      <w:r w:rsidRPr="00107694">
        <w:t>3%), respondents also said th</w:t>
      </w:r>
      <w:r w:rsidR="00985738">
        <w:t>ey often forgot to take it  (28</w:t>
      </w:r>
      <w:r w:rsidR="00985738">
        <w:rPr>
          <w:lang w:val="id-ID"/>
        </w:rPr>
        <w:t>.</w:t>
      </w:r>
      <w:r w:rsidR="00D73CCE">
        <w:t>6%), it smelled bad (8</w:t>
      </w:r>
      <w:r w:rsidR="00D73CCE">
        <w:rPr>
          <w:lang w:val="id-ID"/>
        </w:rPr>
        <w:t>.</w:t>
      </w:r>
      <w:r w:rsidRPr="00107694">
        <w:t xml:space="preserve">6%) , and said that they felt healthy and did </w:t>
      </w:r>
      <w:r w:rsidR="00985738">
        <w:t>not need to take supplements (5</w:t>
      </w:r>
      <w:r w:rsidR="00985738">
        <w:rPr>
          <w:lang w:val="id-ID"/>
        </w:rPr>
        <w:t>.</w:t>
      </w:r>
      <w:r w:rsidRPr="00107694">
        <w:t xml:space="preserve">7%). According to Onyeneho, </w:t>
      </w:r>
      <w:r w:rsidRPr="00F92525">
        <w:rPr>
          <w:i/>
        </w:rPr>
        <w:t>et al</w:t>
      </w:r>
      <w:r w:rsidR="00B95409">
        <w:t>. (</w:t>
      </w:r>
      <w:r w:rsidRPr="00107694">
        <w:t>2016), adherence of pregnant women to consume micronutrient supplements such as iron and calcium for 90</w:t>
      </w:r>
      <w:bookmarkStart w:id="0" w:name="_GoBack"/>
      <w:bookmarkEnd w:id="0"/>
      <w:r w:rsidRPr="00107694">
        <w:t xml:space="preserve"> days is influenced by several factors namely distance of house, urbanization, ANC visit, maternal age, knowle</w:t>
      </w:r>
      <w:r w:rsidR="00B8461D">
        <w:t>dge and financial condition [9]</w:t>
      </w:r>
      <w:r w:rsidRPr="00107694">
        <w:t>. Other studies state that the condition such as nausea, vomiting, and forgetting to take supplements because of busy reasons is an obstacle for pregnant women to comply with recommended recommendations f</w:t>
      </w:r>
      <w:r>
        <w:t>or supplements consumption [10]</w:t>
      </w:r>
    </w:p>
    <w:p w:rsidR="00107694" w:rsidRDefault="00107694" w:rsidP="00107694">
      <w:pPr>
        <w:autoSpaceDE w:val="0"/>
        <w:autoSpaceDN w:val="0"/>
        <w:adjustRightInd w:val="0"/>
        <w:ind w:firstLine="567"/>
        <w:jc w:val="center"/>
      </w:pPr>
    </w:p>
    <w:p w:rsidR="00D67B20" w:rsidRPr="00D67B20" w:rsidRDefault="00C92DD8" w:rsidP="00107694">
      <w:pPr>
        <w:autoSpaceDE w:val="0"/>
        <w:autoSpaceDN w:val="0"/>
        <w:adjustRightInd w:val="0"/>
        <w:ind w:firstLine="567"/>
        <w:jc w:val="center"/>
        <w:rPr>
          <w:lang w:eastAsia="id-ID"/>
        </w:rPr>
      </w:pPr>
      <w:r>
        <w:rPr>
          <w:noProof/>
          <w:sz w:val="24"/>
          <w:szCs w:val="24"/>
          <w:lang w:val="id-ID" w:eastAsia="id-ID"/>
        </w:rPr>
        <w:drawing>
          <wp:inline distT="0" distB="0" distL="0" distR="0" wp14:anchorId="20C0B95A" wp14:editId="1C937608">
            <wp:extent cx="3367399" cy="269280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7399" cy="2692800"/>
                    </a:xfrm>
                    <a:prstGeom prst="rect">
                      <a:avLst/>
                    </a:prstGeom>
                    <a:noFill/>
                    <a:ln>
                      <a:noFill/>
                    </a:ln>
                  </pic:spPr>
                </pic:pic>
              </a:graphicData>
            </a:graphic>
          </wp:inline>
        </w:drawing>
      </w:r>
    </w:p>
    <w:p w:rsidR="00F117E3" w:rsidRDefault="00107694" w:rsidP="00107694">
      <w:pPr>
        <w:jc w:val="center"/>
        <w:rPr>
          <w:lang w:eastAsia="id-ID"/>
        </w:rPr>
      </w:pPr>
      <w:proofErr w:type="gramStart"/>
      <w:r w:rsidRPr="00107694">
        <w:rPr>
          <w:lang w:eastAsia="id-ID"/>
        </w:rPr>
        <w:t>Figure 2.</w:t>
      </w:r>
      <w:proofErr w:type="gramEnd"/>
      <w:r w:rsidRPr="00107694">
        <w:rPr>
          <w:lang w:eastAsia="id-ID"/>
        </w:rPr>
        <w:t xml:space="preserve"> Vegetable intake survival function graph in third trimester pregnant women</w:t>
      </w:r>
    </w:p>
    <w:p w:rsidR="00107694" w:rsidRDefault="00107694" w:rsidP="00107694">
      <w:pPr>
        <w:jc w:val="center"/>
        <w:rPr>
          <w:lang w:val="id-ID"/>
        </w:rPr>
      </w:pPr>
    </w:p>
    <w:p w:rsidR="00107694" w:rsidRDefault="00107694" w:rsidP="00107694">
      <w:pPr>
        <w:tabs>
          <w:tab w:val="left" w:pos="1418"/>
        </w:tabs>
        <w:ind w:firstLine="567"/>
        <w:jc w:val="both"/>
      </w:pPr>
      <w:r>
        <w:t xml:space="preserve">Table 2 shows that there is a significant difference </w:t>
      </w:r>
      <w:r w:rsidR="00B95409">
        <w:t>between vegetable intake (p=</w:t>
      </w:r>
      <w:r w:rsidR="00D73CCE">
        <w:t>0</w:t>
      </w:r>
      <w:r w:rsidR="00D73CCE">
        <w:rPr>
          <w:lang w:val="id-ID"/>
        </w:rPr>
        <w:t>.</w:t>
      </w:r>
      <w:r>
        <w:t>007) and the incidence of preeclampsia. Vitamin A in the form of retinol, retinal and retinoid acid is believed to be an antioxidant that is effective in inhibiting free radicals formation. Vitamin A can be obtained from various food sources such as green and yellow vegetables, milk, fruits and red meat. Antioxidant activity in vitamin A is produced in the form of compounds from hydrophobic chains in polyene units that can eliminate singlet oxygen, neutralize thyl radicals and make peroxyl radical stable.</w:t>
      </w:r>
    </w:p>
    <w:p w:rsidR="00107694" w:rsidRDefault="00107694" w:rsidP="00107694">
      <w:pPr>
        <w:tabs>
          <w:tab w:val="left" w:pos="1418"/>
        </w:tabs>
        <w:ind w:firstLine="567"/>
        <w:jc w:val="both"/>
      </w:pPr>
      <w:r>
        <w:lastRenderedPageBreak/>
        <w:t xml:space="preserve">Antioxidants in vitamin A protect polyunsaturated fatty acids and lipoproteins that are between membranes </w:t>
      </w:r>
      <w:r w:rsidR="00B8461D">
        <w:t xml:space="preserve">from the peroxidation process. </w:t>
      </w:r>
      <w:r w:rsidR="00B8461D">
        <w:rPr>
          <w:lang w:val="id-ID"/>
        </w:rPr>
        <w:t>P</w:t>
      </w:r>
      <w:r>
        <w:t>regnant women with preeclampsia have increased levels of peroxidation products found in saliva, urine and plasma. Plasma concentration of the isoprostane 8-iso-prostaglandin F2α (8-iso-PGF 2) which is a peroxidation product increases in pregnant women with preeclampsia compared to normal pregnant women [11]. Therefore, high</w:t>
      </w:r>
      <w:r w:rsidR="00B95409">
        <w:t xml:space="preserve"> vitamin </w:t>
      </w:r>
      <w:r w:rsidR="00B8461D">
        <w:rPr>
          <w:lang w:val="id-ID"/>
        </w:rPr>
        <w:t>a</w:t>
      </w:r>
      <w:r w:rsidR="00B95409">
        <w:t xml:space="preserve"> content in vegetable</w:t>
      </w:r>
      <w:r w:rsidR="00B8461D">
        <w:t xml:space="preserve"> such as cassava lea</w:t>
      </w:r>
      <w:r w:rsidR="00B8461D">
        <w:rPr>
          <w:lang w:val="id-ID"/>
        </w:rPr>
        <w:t xml:space="preserve">f </w:t>
      </w:r>
      <w:r>
        <w:t>can inhibit lipid peroxidation processes and can reduce the risk of the occurrence of preeclampsia in pregnant women in the third trimester.</w:t>
      </w:r>
    </w:p>
    <w:p w:rsidR="00107694" w:rsidRDefault="00B8461D" w:rsidP="00107694">
      <w:pPr>
        <w:tabs>
          <w:tab w:val="left" w:pos="1418"/>
        </w:tabs>
        <w:ind w:firstLine="567"/>
        <w:jc w:val="both"/>
      </w:pPr>
      <w:r>
        <w:t>To obtain</w:t>
      </w:r>
      <w:r>
        <w:rPr>
          <w:lang w:val="id-ID"/>
        </w:rPr>
        <w:t xml:space="preserve"> </w:t>
      </w:r>
      <w:r>
        <w:t xml:space="preserve">plot graph of </w:t>
      </w:r>
      <w:r w:rsidR="00107694">
        <w:t xml:space="preserve">pregnant women endurance to remain normal or develop preeclampsia in the third trimester, both third trimester pregnant women with adequate vegetable intake and third trimester pregnant women with less vegetable intake were analyzed. Researchers used a survival function graph (Figure </w:t>
      </w:r>
      <w:r>
        <w:rPr>
          <w:lang w:val="id-ID"/>
        </w:rPr>
        <w:t>2</w:t>
      </w:r>
      <w:r w:rsidR="00107694">
        <w:t>). From the graph, it can be seen that third trimester pregnant women wi</w:t>
      </w:r>
      <w:r w:rsidR="00F92525">
        <w:t>th adequate vegetable intake (≥250 gr/</w:t>
      </w:r>
      <w:r w:rsidR="00107694">
        <w:t>day) have a higher survival rate compared to third trimester pregnant wome</w:t>
      </w:r>
      <w:r w:rsidR="00F92525">
        <w:t>n with less vegetable intake (˂250 gr/</w:t>
      </w:r>
      <w:r w:rsidR="00107694">
        <w:t xml:space="preserve">day) (Figure </w:t>
      </w:r>
      <w:r>
        <w:rPr>
          <w:lang w:val="id-ID"/>
        </w:rPr>
        <w:t>2</w:t>
      </w:r>
      <w:r w:rsidR="00107694">
        <w:t>).</w:t>
      </w:r>
    </w:p>
    <w:p w:rsidR="00107694" w:rsidRDefault="00107694" w:rsidP="00107694">
      <w:pPr>
        <w:tabs>
          <w:tab w:val="left" w:pos="1418"/>
        </w:tabs>
        <w:ind w:firstLine="567"/>
        <w:jc w:val="both"/>
      </w:pPr>
      <w:r>
        <w:t xml:space="preserve">Table 3 shows the most influential variable to preeclampsia is vegetables intake by third </w:t>
      </w:r>
      <w:r w:rsidR="00B95409">
        <w:t>trimester pregnant women (p=</w:t>
      </w:r>
      <w:r w:rsidR="00D73CCE">
        <w:t>0</w:t>
      </w:r>
      <w:r w:rsidR="00D73CCE">
        <w:rPr>
          <w:lang w:val="id-ID"/>
        </w:rPr>
        <w:t>.</w:t>
      </w:r>
      <w:r>
        <w:t xml:space="preserve">026). Five Types of vegetables that are often consumed by pregnant women </w:t>
      </w:r>
      <w:r w:rsidR="00D73CCE">
        <w:t>are cassava leaf vegetables (85</w:t>
      </w:r>
      <w:r w:rsidR="00D73CCE">
        <w:rPr>
          <w:lang w:val="id-ID"/>
        </w:rPr>
        <w:t>.</w:t>
      </w:r>
      <w:r w:rsidR="00D73CCE">
        <w:t>3%), long beans (10</w:t>
      </w:r>
      <w:r w:rsidR="00D73CCE">
        <w:rPr>
          <w:lang w:val="id-ID"/>
        </w:rPr>
        <w:t>.</w:t>
      </w:r>
      <w:r>
        <w:t>7%), and spinach (5%). Cassava leaves contain a lot of vitamin A which is in 100 grams of cassava leaves, there are 1100 IU of Vitamin A. Vitamin A is a powerful natural antioxidant, besides it also contains very good vitamin A, and other antioxidants such as alpha and beta-carotene, beta- cryptoxanthin, zea-xanthin and lutein. This compound is known to have antioxidant properties. The total antioxidant strength or oxygen radical absorbance capasity</w:t>
      </w:r>
      <w:r w:rsidR="00D73CCE">
        <w:t xml:space="preserve"> (ORAC) of cassava leaves was 1</w:t>
      </w:r>
      <w:r w:rsidR="00D73CCE">
        <w:rPr>
          <w:lang w:val="id-ID"/>
        </w:rPr>
        <w:t>.</w:t>
      </w:r>
      <w:r>
        <w:t xml:space="preserve">510 µmol TE / 100 gr and the peanut ORAC was 453 µmol TE / 100 gr [12]. Oxidative stress and decreased antioxidant defense increase lipid peroxidation and cause radicals and will cause vascular endothelial damage. In preeclampsia patients there is a significant decrease in </w:t>
      </w:r>
      <w:r w:rsidR="006D335A" w:rsidRPr="006D335A">
        <w:t xml:space="preserve">antioxidant activity </w:t>
      </w:r>
      <w:r w:rsidR="006D335A">
        <w:rPr>
          <w:lang w:val="id-ID"/>
        </w:rPr>
        <w:t>(</w:t>
      </w:r>
      <w:r>
        <w:t>AOA</w:t>
      </w:r>
      <w:r w:rsidR="006D335A">
        <w:rPr>
          <w:lang w:val="id-ID"/>
        </w:rPr>
        <w:t>)</w:t>
      </w:r>
      <w:r>
        <w:t>, so vegetables containing high antioxidants such as cassava leaves can increase antioxidant defenses in the body [13].</w:t>
      </w:r>
    </w:p>
    <w:p w:rsidR="00107694" w:rsidRDefault="00107694" w:rsidP="00107694">
      <w:pPr>
        <w:tabs>
          <w:tab w:val="left" w:pos="1418"/>
        </w:tabs>
        <w:ind w:firstLine="1701"/>
        <w:jc w:val="both"/>
      </w:pPr>
    </w:p>
    <w:p w:rsidR="00AA7229" w:rsidRPr="00D67B20" w:rsidRDefault="00107694" w:rsidP="00107694">
      <w:pPr>
        <w:tabs>
          <w:tab w:val="left" w:pos="1418"/>
        </w:tabs>
        <w:ind w:firstLine="1701"/>
        <w:jc w:val="both"/>
      </w:pPr>
      <w:proofErr w:type="gramStart"/>
      <w:r w:rsidRPr="00107694">
        <w:t>Table 3.</w:t>
      </w:r>
      <w:proofErr w:type="gramEnd"/>
      <w:r w:rsidRPr="00107694">
        <w:t xml:space="preserve"> Cox Regression test</w:t>
      </w:r>
    </w:p>
    <w:tbl>
      <w:tblPr>
        <w:tblW w:w="5916" w:type="dxa"/>
        <w:jc w:val="center"/>
        <w:tblInd w:w="1526" w:type="dxa"/>
        <w:tblLook w:val="04A0" w:firstRow="1" w:lastRow="0" w:firstColumn="1" w:lastColumn="0" w:noHBand="0" w:noVBand="1"/>
      </w:tblPr>
      <w:tblGrid>
        <w:gridCol w:w="2269"/>
        <w:gridCol w:w="771"/>
        <w:gridCol w:w="654"/>
        <w:gridCol w:w="1111"/>
        <w:gridCol w:w="1111"/>
      </w:tblGrid>
      <w:tr w:rsidR="00107694" w:rsidRPr="00D67B20" w:rsidTr="00B95409">
        <w:trPr>
          <w:trHeight w:val="315"/>
          <w:jc w:val="center"/>
        </w:trPr>
        <w:tc>
          <w:tcPr>
            <w:tcW w:w="2269" w:type="dxa"/>
            <w:tcBorders>
              <w:top w:val="single" w:sz="4" w:space="0" w:color="auto"/>
              <w:left w:val="nil"/>
              <w:bottom w:val="single" w:sz="4" w:space="0" w:color="auto"/>
              <w:right w:val="nil"/>
            </w:tcBorders>
            <w:shd w:val="clear" w:color="auto" w:fill="auto"/>
            <w:noWrap/>
            <w:hideMark/>
          </w:tcPr>
          <w:p w:rsidR="00107694" w:rsidRPr="00E46D5E" w:rsidRDefault="00107694" w:rsidP="00B95409">
            <w:r w:rsidRPr="00E46D5E">
              <w:t>Variable</w:t>
            </w:r>
          </w:p>
        </w:tc>
        <w:tc>
          <w:tcPr>
            <w:tcW w:w="771" w:type="dxa"/>
            <w:tcBorders>
              <w:top w:val="single" w:sz="4" w:space="0" w:color="auto"/>
              <w:left w:val="nil"/>
              <w:bottom w:val="single" w:sz="4" w:space="0" w:color="auto"/>
              <w:right w:val="nil"/>
            </w:tcBorders>
            <w:shd w:val="clear" w:color="auto" w:fill="auto"/>
            <w:noWrap/>
            <w:hideMark/>
          </w:tcPr>
          <w:p w:rsidR="00107694" w:rsidRPr="00E46D5E" w:rsidRDefault="00107694" w:rsidP="00B95409">
            <w:pPr>
              <w:jc w:val="center"/>
            </w:pPr>
            <w:r w:rsidRPr="00E46D5E">
              <w:t>B</w:t>
            </w:r>
          </w:p>
        </w:tc>
        <w:tc>
          <w:tcPr>
            <w:tcW w:w="654" w:type="dxa"/>
            <w:tcBorders>
              <w:top w:val="single" w:sz="4" w:space="0" w:color="auto"/>
              <w:left w:val="nil"/>
              <w:bottom w:val="single" w:sz="4" w:space="0" w:color="auto"/>
              <w:right w:val="nil"/>
            </w:tcBorders>
            <w:shd w:val="clear" w:color="auto" w:fill="auto"/>
            <w:noWrap/>
            <w:hideMark/>
          </w:tcPr>
          <w:p w:rsidR="00107694" w:rsidRPr="00E46D5E" w:rsidRDefault="00107694" w:rsidP="00B95409">
            <w:pPr>
              <w:jc w:val="center"/>
            </w:pPr>
            <w:r w:rsidRPr="00E46D5E">
              <w:t>SE</w:t>
            </w:r>
          </w:p>
        </w:tc>
        <w:tc>
          <w:tcPr>
            <w:tcW w:w="1111" w:type="dxa"/>
            <w:tcBorders>
              <w:top w:val="single" w:sz="4" w:space="0" w:color="auto"/>
              <w:left w:val="nil"/>
              <w:bottom w:val="single" w:sz="4" w:space="0" w:color="auto"/>
              <w:right w:val="nil"/>
            </w:tcBorders>
            <w:shd w:val="clear" w:color="auto" w:fill="auto"/>
            <w:noWrap/>
            <w:hideMark/>
          </w:tcPr>
          <w:p w:rsidR="00107694" w:rsidRPr="00E46D5E" w:rsidRDefault="00107694" w:rsidP="00B95409">
            <w:pPr>
              <w:jc w:val="center"/>
            </w:pPr>
            <w:r w:rsidRPr="00E46D5E">
              <w:t>Exp(B)</w:t>
            </w:r>
          </w:p>
        </w:tc>
        <w:tc>
          <w:tcPr>
            <w:tcW w:w="1111" w:type="dxa"/>
            <w:tcBorders>
              <w:top w:val="single" w:sz="4" w:space="0" w:color="auto"/>
              <w:left w:val="nil"/>
              <w:bottom w:val="single" w:sz="4" w:space="0" w:color="auto"/>
              <w:right w:val="nil"/>
            </w:tcBorders>
          </w:tcPr>
          <w:p w:rsidR="00107694" w:rsidRPr="00E46D5E" w:rsidRDefault="00B95409" w:rsidP="00B95409">
            <w:pPr>
              <w:jc w:val="center"/>
            </w:pPr>
            <w:r w:rsidRPr="00B95409">
              <w:rPr>
                <w:i/>
                <w:lang w:val="id-ID"/>
              </w:rPr>
              <w:t>p</w:t>
            </w:r>
            <w:r w:rsidR="00107694" w:rsidRPr="00E46D5E">
              <w:t xml:space="preserve"> value</w:t>
            </w:r>
          </w:p>
        </w:tc>
      </w:tr>
      <w:tr w:rsidR="00107694" w:rsidRPr="00D67B20" w:rsidTr="00EE2EAF">
        <w:trPr>
          <w:trHeight w:val="315"/>
          <w:jc w:val="center"/>
        </w:trPr>
        <w:tc>
          <w:tcPr>
            <w:tcW w:w="2269" w:type="dxa"/>
            <w:tcBorders>
              <w:top w:val="nil"/>
              <w:left w:val="nil"/>
              <w:right w:val="nil"/>
            </w:tcBorders>
            <w:shd w:val="clear" w:color="auto" w:fill="auto"/>
            <w:noWrap/>
            <w:hideMark/>
          </w:tcPr>
          <w:p w:rsidR="00107694" w:rsidRPr="00E46D5E" w:rsidRDefault="00107694" w:rsidP="00B95409">
            <w:r w:rsidRPr="00E46D5E">
              <w:t>Parity</w:t>
            </w:r>
          </w:p>
        </w:tc>
        <w:tc>
          <w:tcPr>
            <w:tcW w:w="771" w:type="dxa"/>
            <w:tcBorders>
              <w:top w:val="nil"/>
              <w:left w:val="nil"/>
              <w:right w:val="nil"/>
            </w:tcBorders>
            <w:shd w:val="clear" w:color="auto" w:fill="auto"/>
            <w:noWrap/>
            <w:hideMark/>
          </w:tcPr>
          <w:p w:rsidR="00107694" w:rsidRPr="00E46D5E" w:rsidRDefault="00D73CCE" w:rsidP="00B8461D">
            <w:pPr>
              <w:jc w:val="center"/>
            </w:pPr>
            <w:r>
              <w:t>1</w:t>
            </w:r>
            <w:r>
              <w:rPr>
                <w:lang w:val="id-ID"/>
              </w:rPr>
              <w:t>.</w:t>
            </w:r>
            <w:r w:rsidR="00107694" w:rsidRPr="00E46D5E">
              <w:t>06</w:t>
            </w:r>
          </w:p>
        </w:tc>
        <w:tc>
          <w:tcPr>
            <w:tcW w:w="654" w:type="dxa"/>
            <w:tcBorders>
              <w:top w:val="nil"/>
              <w:left w:val="nil"/>
              <w:right w:val="nil"/>
            </w:tcBorders>
            <w:shd w:val="clear" w:color="auto" w:fill="auto"/>
            <w:noWrap/>
            <w:hideMark/>
          </w:tcPr>
          <w:p w:rsidR="00107694" w:rsidRPr="00E46D5E" w:rsidRDefault="00D73CCE" w:rsidP="00B8461D">
            <w:pPr>
              <w:jc w:val="center"/>
            </w:pPr>
            <w:r>
              <w:t>0</w:t>
            </w:r>
            <w:r>
              <w:rPr>
                <w:lang w:val="id-ID"/>
              </w:rPr>
              <w:t>.</w:t>
            </w:r>
            <w:r w:rsidR="00107694" w:rsidRPr="00E46D5E">
              <w:t>58</w:t>
            </w:r>
          </w:p>
        </w:tc>
        <w:tc>
          <w:tcPr>
            <w:tcW w:w="1111" w:type="dxa"/>
            <w:tcBorders>
              <w:top w:val="nil"/>
              <w:left w:val="nil"/>
              <w:right w:val="nil"/>
            </w:tcBorders>
            <w:shd w:val="clear" w:color="auto" w:fill="auto"/>
            <w:noWrap/>
            <w:hideMark/>
          </w:tcPr>
          <w:p w:rsidR="00107694" w:rsidRPr="00E46D5E" w:rsidRDefault="00D73CCE" w:rsidP="00B8461D">
            <w:pPr>
              <w:jc w:val="center"/>
            </w:pPr>
            <w:r>
              <w:t>2</w:t>
            </w:r>
            <w:r>
              <w:rPr>
                <w:lang w:val="id-ID"/>
              </w:rPr>
              <w:t>.</w:t>
            </w:r>
            <w:r w:rsidR="00107694" w:rsidRPr="00E46D5E">
              <w:t>88</w:t>
            </w:r>
          </w:p>
        </w:tc>
        <w:tc>
          <w:tcPr>
            <w:tcW w:w="1111" w:type="dxa"/>
            <w:tcBorders>
              <w:top w:val="nil"/>
              <w:left w:val="nil"/>
              <w:right w:val="nil"/>
            </w:tcBorders>
          </w:tcPr>
          <w:p w:rsidR="00107694" w:rsidRPr="00E46D5E" w:rsidRDefault="00D73CCE" w:rsidP="00B8461D">
            <w:pPr>
              <w:jc w:val="center"/>
            </w:pPr>
            <w:r>
              <w:t>0</w:t>
            </w:r>
            <w:r>
              <w:rPr>
                <w:lang w:val="id-ID"/>
              </w:rPr>
              <w:t>.</w:t>
            </w:r>
            <w:r w:rsidR="00107694" w:rsidRPr="00E46D5E">
              <w:t>068</w:t>
            </w:r>
          </w:p>
        </w:tc>
      </w:tr>
      <w:tr w:rsidR="00107694" w:rsidRPr="00D67B20" w:rsidTr="00EE2EAF">
        <w:trPr>
          <w:trHeight w:val="315"/>
          <w:jc w:val="center"/>
        </w:trPr>
        <w:tc>
          <w:tcPr>
            <w:tcW w:w="2269" w:type="dxa"/>
            <w:tcBorders>
              <w:top w:val="nil"/>
              <w:left w:val="nil"/>
              <w:bottom w:val="single" w:sz="4" w:space="0" w:color="auto"/>
              <w:right w:val="nil"/>
            </w:tcBorders>
            <w:shd w:val="clear" w:color="auto" w:fill="auto"/>
            <w:noWrap/>
            <w:hideMark/>
          </w:tcPr>
          <w:p w:rsidR="00107694" w:rsidRPr="00E46D5E" w:rsidRDefault="00107694" w:rsidP="00B95409">
            <w:r w:rsidRPr="00E46D5E">
              <w:t>Vegetable intake</w:t>
            </w:r>
          </w:p>
        </w:tc>
        <w:tc>
          <w:tcPr>
            <w:tcW w:w="771" w:type="dxa"/>
            <w:tcBorders>
              <w:top w:val="nil"/>
              <w:left w:val="nil"/>
              <w:bottom w:val="single" w:sz="4" w:space="0" w:color="auto"/>
              <w:right w:val="nil"/>
            </w:tcBorders>
            <w:shd w:val="clear" w:color="auto" w:fill="auto"/>
            <w:noWrap/>
            <w:hideMark/>
          </w:tcPr>
          <w:p w:rsidR="00107694" w:rsidRPr="00E46D5E" w:rsidRDefault="00D73CCE" w:rsidP="00B8461D">
            <w:pPr>
              <w:jc w:val="center"/>
            </w:pPr>
            <w:r>
              <w:t>-1</w:t>
            </w:r>
            <w:r>
              <w:rPr>
                <w:lang w:val="id-ID"/>
              </w:rPr>
              <w:t>.</w:t>
            </w:r>
            <w:r w:rsidR="00107694" w:rsidRPr="00E46D5E">
              <w:t>69</w:t>
            </w:r>
          </w:p>
        </w:tc>
        <w:tc>
          <w:tcPr>
            <w:tcW w:w="654" w:type="dxa"/>
            <w:tcBorders>
              <w:top w:val="nil"/>
              <w:left w:val="nil"/>
              <w:bottom w:val="single" w:sz="4" w:space="0" w:color="auto"/>
              <w:right w:val="nil"/>
            </w:tcBorders>
            <w:shd w:val="clear" w:color="auto" w:fill="auto"/>
            <w:noWrap/>
            <w:hideMark/>
          </w:tcPr>
          <w:p w:rsidR="00107694" w:rsidRPr="00E46D5E" w:rsidRDefault="00D73CCE" w:rsidP="00B8461D">
            <w:pPr>
              <w:jc w:val="center"/>
            </w:pPr>
            <w:r>
              <w:t>0</w:t>
            </w:r>
            <w:r>
              <w:rPr>
                <w:lang w:val="id-ID"/>
              </w:rPr>
              <w:t>.</w:t>
            </w:r>
            <w:r w:rsidR="00107694" w:rsidRPr="00E46D5E">
              <w:t>76</w:t>
            </w:r>
          </w:p>
        </w:tc>
        <w:tc>
          <w:tcPr>
            <w:tcW w:w="1111" w:type="dxa"/>
            <w:tcBorders>
              <w:top w:val="nil"/>
              <w:left w:val="nil"/>
              <w:bottom w:val="single" w:sz="4" w:space="0" w:color="auto"/>
              <w:right w:val="nil"/>
            </w:tcBorders>
            <w:shd w:val="clear" w:color="auto" w:fill="auto"/>
            <w:noWrap/>
            <w:hideMark/>
          </w:tcPr>
          <w:p w:rsidR="00107694" w:rsidRPr="00E46D5E" w:rsidRDefault="00D73CCE" w:rsidP="00B8461D">
            <w:pPr>
              <w:jc w:val="center"/>
            </w:pPr>
            <w:r>
              <w:t>0</w:t>
            </w:r>
            <w:r>
              <w:rPr>
                <w:lang w:val="id-ID"/>
              </w:rPr>
              <w:t>.</w:t>
            </w:r>
            <w:r w:rsidR="00107694" w:rsidRPr="00E46D5E">
              <w:t>18</w:t>
            </w:r>
          </w:p>
        </w:tc>
        <w:tc>
          <w:tcPr>
            <w:tcW w:w="1111" w:type="dxa"/>
            <w:tcBorders>
              <w:top w:val="nil"/>
              <w:left w:val="nil"/>
              <w:bottom w:val="single" w:sz="4" w:space="0" w:color="auto"/>
              <w:right w:val="nil"/>
            </w:tcBorders>
          </w:tcPr>
          <w:p w:rsidR="00107694" w:rsidRDefault="00D73CCE" w:rsidP="00B8461D">
            <w:pPr>
              <w:jc w:val="center"/>
            </w:pPr>
            <w:r>
              <w:t>0</w:t>
            </w:r>
            <w:r>
              <w:rPr>
                <w:lang w:val="id-ID"/>
              </w:rPr>
              <w:t>.</w:t>
            </w:r>
            <w:r w:rsidR="00107694" w:rsidRPr="00E46D5E">
              <w:t>026*</w:t>
            </w:r>
          </w:p>
        </w:tc>
      </w:tr>
    </w:tbl>
    <w:p w:rsidR="00107694" w:rsidRDefault="00107694" w:rsidP="00107694">
      <w:pPr>
        <w:ind w:firstLine="1701"/>
        <w:jc w:val="both"/>
      </w:pPr>
      <w:r w:rsidRPr="00107694">
        <w:t xml:space="preserve">* </w:t>
      </w:r>
      <w:r w:rsidRPr="00B95409">
        <w:rPr>
          <w:i/>
        </w:rPr>
        <w:t>p</w:t>
      </w:r>
      <w:r w:rsidRPr="00107694">
        <w:t>&lt;0.05, using the Cox Regression test</w:t>
      </w:r>
    </w:p>
    <w:p w:rsidR="00107694" w:rsidRDefault="00107694" w:rsidP="00107694">
      <w:pPr>
        <w:ind w:firstLine="1701"/>
        <w:jc w:val="both"/>
      </w:pPr>
    </w:p>
    <w:p w:rsidR="00FE43A3" w:rsidRDefault="00FE43A3" w:rsidP="00FE43A3">
      <w:pPr>
        <w:tabs>
          <w:tab w:val="left" w:pos="0"/>
        </w:tabs>
        <w:ind w:firstLine="567"/>
        <w:jc w:val="both"/>
      </w:pPr>
      <w:r w:rsidRPr="00FE43A3">
        <w:t>Cassava leaves cont</w:t>
      </w:r>
      <w:r w:rsidR="00B95409">
        <w:t>ain minerals such as iron (2 mg/100 gr) and calcium (16 mg/</w:t>
      </w:r>
      <w:r w:rsidRPr="00FE43A3">
        <w:t>100 gr). Fetus requires calcium for bone formation. To meet calcium needs, fetus takes calcium from i</w:t>
      </w:r>
      <w:r w:rsidR="00B95409">
        <w:t>ts mother. Approximately 200 mg</w:t>
      </w:r>
      <w:r w:rsidRPr="00FE43A3">
        <w:t>/ day calcium is stored in the skeleton in the third trimester, reaching 25 to 30 gr [14]. In addition, excretion of calcium through urine at the end of pregnancy, on average, doubled compared with non-pregnant women. This causes decrease calcium levels in pregnant women. Vegetable intake that contains a lot of potassium such as long beans will increase potassium in intracellular fluid, tends to attract fluid from the extracellular part and can reduce blood pressure to prevent the occurrence of preeclampsia [15].</w:t>
      </w:r>
    </w:p>
    <w:p w:rsidR="00FE43A3" w:rsidRPr="006D335A" w:rsidRDefault="00FE43A3" w:rsidP="00FE43A3">
      <w:pPr>
        <w:tabs>
          <w:tab w:val="left" w:pos="0"/>
        </w:tabs>
        <w:ind w:firstLine="567"/>
        <w:jc w:val="both"/>
      </w:pPr>
    </w:p>
    <w:p w:rsidR="00FE43A3" w:rsidRPr="006D335A" w:rsidRDefault="006D335A" w:rsidP="006D335A">
      <w:pPr>
        <w:spacing w:after="240"/>
        <w:jc w:val="both"/>
        <w:rPr>
          <w:b/>
          <w:bCs/>
          <w:lang w:val="id-ID"/>
        </w:rPr>
      </w:pPr>
      <w:r w:rsidRPr="006D335A">
        <w:rPr>
          <w:b/>
          <w:bCs/>
          <w:lang w:val="id-ID"/>
        </w:rPr>
        <w:t>4</w:t>
      </w:r>
      <w:r w:rsidRPr="006D335A">
        <w:rPr>
          <w:b/>
          <w:bCs/>
          <w:lang w:val="id-ID"/>
        </w:rPr>
        <w:t xml:space="preserve">.     </w:t>
      </w:r>
      <w:r>
        <w:rPr>
          <w:b/>
          <w:bCs/>
          <w:lang w:val="id-ID"/>
        </w:rPr>
        <w:t>CONCLUSION</w:t>
      </w:r>
    </w:p>
    <w:p w:rsidR="001A597E" w:rsidRDefault="00FE43A3" w:rsidP="00FE43A3">
      <w:pPr>
        <w:tabs>
          <w:tab w:val="left" w:pos="0"/>
        </w:tabs>
        <w:ind w:firstLine="567"/>
        <w:jc w:val="both"/>
        <w:rPr>
          <w:lang w:val="en-ID"/>
        </w:rPr>
      </w:pPr>
      <w:r w:rsidRPr="00FE43A3">
        <w:rPr>
          <w:lang w:val="id-ID"/>
        </w:rPr>
        <w:t>Based on the results, there is a significant relationship between calcium supplementation dose and vegetable intake with preeclampsia incidence in third</w:t>
      </w:r>
      <w:r w:rsidR="00B95409">
        <w:rPr>
          <w:lang w:val="id-ID"/>
        </w:rPr>
        <w:t xml:space="preserve"> trimester pregnant women (p</w:t>
      </w:r>
      <w:r w:rsidR="00F92525">
        <w:rPr>
          <w:lang w:val="id-ID"/>
        </w:rPr>
        <w:t>&lt;0</w:t>
      </w:r>
      <w:r w:rsidR="00D73CCE">
        <w:rPr>
          <w:lang w:val="id-ID"/>
        </w:rPr>
        <w:t>.</w:t>
      </w:r>
      <w:r w:rsidRPr="00FE43A3">
        <w:rPr>
          <w:lang w:val="id-ID"/>
        </w:rPr>
        <w:t>05). Health workers are expected to actively provide guidance on how to take calcium supplements correctly and amount consumed each day. The results of this study are expected to provide knowledge to pregnant women to always pay attention on how many calcium supplement tablets should be consumed per day and adequate vegetable intake in order to avoid preeclampsia.</w:t>
      </w:r>
    </w:p>
    <w:p w:rsidR="00C24FF3" w:rsidRDefault="00C24FF3" w:rsidP="00FE43A3">
      <w:pPr>
        <w:tabs>
          <w:tab w:val="left" w:pos="0"/>
        </w:tabs>
        <w:ind w:firstLine="567"/>
        <w:jc w:val="both"/>
        <w:rPr>
          <w:lang w:val="en-ID"/>
        </w:rPr>
      </w:pPr>
    </w:p>
    <w:p w:rsidR="00C24FF3" w:rsidRPr="00EE7C89" w:rsidRDefault="00C24FF3" w:rsidP="00C24FF3">
      <w:pPr>
        <w:rPr>
          <w:rStyle w:val="apple-style-span"/>
          <w:b/>
          <w:color w:val="000000"/>
          <w:lang w:val="pt-BR"/>
        </w:rPr>
      </w:pPr>
      <w:r w:rsidRPr="00EE7C89">
        <w:rPr>
          <w:rStyle w:val="apple-style-span"/>
          <w:b/>
          <w:color w:val="000000"/>
          <w:lang w:val="pt-BR"/>
        </w:rPr>
        <w:t>ACKNOWLEDGEMENTS</w:t>
      </w:r>
    </w:p>
    <w:p w:rsidR="00C24FF3" w:rsidRPr="00C24FF3" w:rsidRDefault="00C24FF3" w:rsidP="00C24FF3">
      <w:pPr>
        <w:ind w:firstLine="720"/>
        <w:jc w:val="both"/>
        <w:rPr>
          <w:bCs/>
        </w:rPr>
      </w:pPr>
      <w:r>
        <w:t xml:space="preserve">The author </w:t>
      </w:r>
      <w:r w:rsidR="00C76A1A">
        <w:rPr>
          <w:lang w:val="id-ID"/>
        </w:rPr>
        <w:t>would like to</w:t>
      </w:r>
      <w:r>
        <w:t xml:space="preserve"> thank you for your support </w:t>
      </w:r>
      <w:r w:rsidRPr="0035591D">
        <w:rPr>
          <w:lang w:val="id-ID"/>
        </w:rPr>
        <w:t>in the Bantul district health center in Yogyakarta</w:t>
      </w:r>
      <w:r>
        <w:rPr>
          <w:b/>
          <w:bCs/>
        </w:rPr>
        <w:t xml:space="preserve">, </w:t>
      </w:r>
      <w:r>
        <w:rPr>
          <w:bCs/>
        </w:rPr>
        <w:t>my supervisors, my parents and my friends.</w:t>
      </w:r>
    </w:p>
    <w:p w:rsidR="001A597E" w:rsidRPr="00EE7C89" w:rsidRDefault="001A597E" w:rsidP="001A597E">
      <w:pPr>
        <w:rPr>
          <w:b/>
          <w:bCs/>
        </w:rPr>
      </w:pPr>
    </w:p>
    <w:p w:rsidR="001A597E" w:rsidRPr="00FE43A3" w:rsidRDefault="00FE43A3" w:rsidP="001A597E">
      <w:pPr>
        <w:rPr>
          <w:color w:val="000000"/>
          <w:lang w:val="en-ID"/>
        </w:rPr>
      </w:pPr>
      <w:r>
        <w:rPr>
          <w:rStyle w:val="apple-style-span"/>
          <w:b/>
          <w:color w:val="000000"/>
          <w:lang w:val="en-ID"/>
        </w:rPr>
        <w:t>Reference</w:t>
      </w:r>
    </w:p>
    <w:p w:rsidR="001A597E" w:rsidRPr="004F7AAD" w:rsidRDefault="001A597E" w:rsidP="001A597E">
      <w:pPr>
        <w:numPr>
          <w:ilvl w:val="0"/>
          <w:numId w:val="17"/>
        </w:numPr>
        <w:tabs>
          <w:tab w:val="left" w:pos="0"/>
        </w:tabs>
        <w:ind w:left="426" w:hanging="426"/>
        <w:jc w:val="both"/>
        <w:rPr>
          <w:noProof/>
          <w:sz w:val="18"/>
          <w:szCs w:val="18"/>
        </w:rPr>
      </w:pPr>
      <w:r>
        <w:rPr>
          <w:sz w:val="18"/>
          <w:szCs w:val="18"/>
        </w:rPr>
        <w:t>Vaught, A.J.</w:t>
      </w:r>
      <w:r>
        <w:rPr>
          <w:sz w:val="18"/>
          <w:szCs w:val="18"/>
          <w:lang w:val="id-ID"/>
        </w:rPr>
        <w:t>;</w:t>
      </w:r>
      <w:r>
        <w:rPr>
          <w:sz w:val="18"/>
          <w:szCs w:val="18"/>
        </w:rPr>
        <w:t xml:space="preserve"> Kovell, L.C.</w:t>
      </w:r>
      <w:r>
        <w:rPr>
          <w:sz w:val="18"/>
          <w:szCs w:val="18"/>
          <w:lang w:val="id-ID"/>
        </w:rPr>
        <w:t>;</w:t>
      </w:r>
      <w:r w:rsidRPr="004F7AAD">
        <w:rPr>
          <w:sz w:val="18"/>
          <w:szCs w:val="18"/>
        </w:rPr>
        <w:t xml:space="preserve"> Szymanski, L.M.</w:t>
      </w:r>
      <w:proofErr w:type="gramStart"/>
      <w:r>
        <w:rPr>
          <w:sz w:val="18"/>
          <w:szCs w:val="18"/>
          <w:lang w:val="id-ID"/>
        </w:rPr>
        <w:t>;</w:t>
      </w:r>
      <w:r w:rsidR="00C76A1A">
        <w:rPr>
          <w:sz w:val="18"/>
          <w:szCs w:val="18"/>
          <w:lang w:val="id-ID"/>
        </w:rPr>
        <w:t>,</w:t>
      </w:r>
      <w:proofErr w:type="gramEnd"/>
      <w:r w:rsidR="00C76A1A">
        <w:rPr>
          <w:sz w:val="18"/>
          <w:szCs w:val="18"/>
          <w:lang w:val="id-ID"/>
        </w:rPr>
        <w:t xml:space="preserve"> </w:t>
      </w:r>
      <w:r w:rsidRPr="004F7AAD">
        <w:rPr>
          <w:sz w:val="18"/>
          <w:szCs w:val="18"/>
        </w:rPr>
        <w:t>“Acute Cardiac Effects of Severe Pre-Eclampsia</w:t>
      </w:r>
      <w:r>
        <w:rPr>
          <w:sz w:val="18"/>
          <w:szCs w:val="18"/>
          <w:lang w:val="id-ID"/>
        </w:rPr>
        <w:t>,</w:t>
      </w:r>
      <w:r>
        <w:rPr>
          <w:sz w:val="18"/>
          <w:szCs w:val="18"/>
        </w:rPr>
        <w:t>”</w:t>
      </w:r>
      <w:r w:rsidRPr="004F7AAD">
        <w:rPr>
          <w:sz w:val="18"/>
          <w:szCs w:val="18"/>
        </w:rPr>
        <w:t xml:space="preserve"> </w:t>
      </w:r>
      <w:r w:rsidRPr="00ED5525">
        <w:rPr>
          <w:i/>
          <w:sz w:val="18"/>
          <w:szCs w:val="18"/>
        </w:rPr>
        <w:t>Journal of American College cardiology</w:t>
      </w:r>
      <w:r>
        <w:rPr>
          <w:sz w:val="18"/>
          <w:szCs w:val="18"/>
        </w:rPr>
        <w:t>,</w:t>
      </w:r>
      <w:r w:rsidR="00591FC7">
        <w:rPr>
          <w:sz w:val="18"/>
          <w:szCs w:val="18"/>
          <w:lang w:val="id-ID"/>
        </w:rPr>
        <w:t>”</w:t>
      </w:r>
      <w:r>
        <w:rPr>
          <w:sz w:val="18"/>
          <w:szCs w:val="18"/>
        </w:rPr>
        <w:t xml:space="preserve"> </w:t>
      </w:r>
      <w:r>
        <w:rPr>
          <w:sz w:val="18"/>
          <w:szCs w:val="18"/>
          <w:lang w:val="id-ID"/>
        </w:rPr>
        <w:t>v</w:t>
      </w:r>
      <w:r>
        <w:rPr>
          <w:sz w:val="18"/>
          <w:szCs w:val="18"/>
        </w:rPr>
        <w:t xml:space="preserve">ol. 2018, </w:t>
      </w:r>
      <w:r>
        <w:rPr>
          <w:sz w:val="18"/>
          <w:szCs w:val="18"/>
          <w:lang w:val="id-ID"/>
        </w:rPr>
        <w:t>n</w:t>
      </w:r>
      <w:r>
        <w:rPr>
          <w:sz w:val="18"/>
          <w:szCs w:val="18"/>
        </w:rPr>
        <w:t>o. 72, pp.1-11</w:t>
      </w:r>
      <w:r>
        <w:rPr>
          <w:sz w:val="18"/>
          <w:szCs w:val="18"/>
          <w:lang w:val="id-ID"/>
        </w:rPr>
        <w:t>,</w:t>
      </w:r>
      <w:r w:rsidRPr="004F7AAD">
        <w:rPr>
          <w:sz w:val="18"/>
          <w:szCs w:val="18"/>
        </w:rPr>
        <w:t xml:space="preserve"> </w:t>
      </w:r>
      <w:r>
        <w:rPr>
          <w:sz w:val="18"/>
          <w:szCs w:val="18"/>
          <w:lang w:val="id-ID"/>
        </w:rPr>
        <w:t xml:space="preserve">July </w:t>
      </w:r>
      <w:r w:rsidRPr="004F7AAD">
        <w:rPr>
          <w:sz w:val="18"/>
          <w:szCs w:val="18"/>
        </w:rPr>
        <w:t>2014</w:t>
      </w:r>
      <w:r>
        <w:rPr>
          <w:sz w:val="18"/>
          <w:szCs w:val="18"/>
          <w:lang w:val="id-ID"/>
        </w:rPr>
        <w:t>.</w:t>
      </w:r>
    </w:p>
    <w:p w:rsidR="001A597E" w:rsidRPr="000B4E8C" w:rsidRDefault="001A597E" w:rsidP="001A597E">
      <w:pPr>
        <w:numPr>
          <w:ilvl w:val="0"/>
          <w:numId w:val="17"/>
        </w:numPr>
        <w:tabs>
          <w:tab w:val="left" w:pos="0"/>
        </w:tabs>
        <w:ind w:left="426" w:hanging="426"/>
        <w:jc w:val="both"/>
        <w:rPr>
          <w:noProof/>
          <w:sz w:val="18"/>
          <w:szCs w:val="18"/>
        </w:rPr>
      </w:pPr>
      <w:r>
        <w:rPr>
          <w:noProof/>
          <w:sz w:val="18"/>
          <w:szCs w:val="18"/>
        </w:rPr>
        <w:t>Kimhyun, D.</w:t>
      </w:r>
      <w:r>
        <w:rPr>
          <w:noProof/>
          <w:sz w:val="18"/>
          <w:szCs w:val="18"/>
          <w:lang w:val="id-ID"/>
        </w:rPr>
        <w:t>;</w:t>
      </w:r>
      <w:r w:rsidRPr="000B4E8C">
        <w:rPr>
          <w:noProof/>
          <w:sz w:val="18"/>
          <w:szCs w:val="18"/>
        </w:rPr>
        <w:t xml:space="preserve"> Seung, S.S</w:t>
      </w:r>
      <w:r w:rsidR="00091C52">
        <w:rPr>
          <w:noProof/>
          <w:sz w:val="18"/>
          <w:szCs w:val="18"/>
        </w:rPr>
        <w:t>.</w:t>
      </w:r>
      <w:r>
        <w:rPr>
          <w:noProof/>
          <w:sz w:val="18"/>
          <w:szCs w:val="18"/>
          <w:lang w:val="id-ID"/>
        </w:rPr>
        <w:t>;</w:t>
      </w:r>
      <w:r>
        <w:rPr>
          <w:noProof/>
          <w:sz w:val="18"/>
          <w:szCs w:val="18"/>
        </w:rPr>
        <w:t xml:space="preserve"> Kyung, K.E.</w:t>
      </w:r>
      <w:r>
        <w:rPr>
          <w:noProof/>
          <w:sz w:val="18"/>
          <w:szCs w:val="18"/>
          <w:lang w:val="id-ID"/>
        </w:rPr>
        <w:t>;</w:t>
      </w:r>
      <w:r>
        <w:rPr>
          <w:noProof/>
          <w:sz w:val="18"/>
          <w:szCs w:val="18"/>
        </w:rPr>
        <w:t xml:space="preserve"> Han, K.S</w:t>
      </w:r>
      <w:r w:rsidR="00091C52">
        <w:rPr>
          <w:noProof/>
          <w:sz w:val="18"/>
          <w:szCs w:val="18"/>
        </w:rPr>
        <w:t>.</w:t>
      </w:r>
      <w:r>
        <w:rPr>
          <w:noProof/>
          <w:sz w:val="18"/>
          <w:szCs w:val="18"/>
          <w:lang w:val="id-ID"/>
        </w:rPr>
        <w:t>;</w:t>
      </w:r>
      <w:r w:rsidR="00C76A1A">
        <w:rPr>
          <w:noProof/>
          <w:sz w:val="18"/>
          <w:szCs w:val="18"/>
          <w:lang w:val="id-ID"/>
        </w:rPr>
        <w:t xml:space="preserve"> </w:t>
      </w:r>
      <w:r>
        <w:rPr>
          <w:noProof/>
          <w:sz w:val="18"/>
          <w:szCs w:val="18"/>
          <w:lang w:val="id-ID"/>
        </w:rPr>
        <w:t>,</w:t>
      </w:r>
      <w:r w:rsidRPr="000B4E8C">
        <w:rPr>
          <w:noProof/>
          <w:sz w:val="18"/>
          <w:szCs w:val="18"/>
        </w:rPr>
        <w:t xml:space="preserve"> “Association of increased cord blood soluble endoglin with the development of bronchopulmonary dysplasia in preterm inf</w:t>
      </w:r>
      <w:r>
        <w:rPr>
          <w:noProof/>
          <w:sz w:val="18"/>
          <w:szCs w:val="18"/>
        </w:rPr>
        <w:t>ants with maternal preeclampsia</w:t>
      </w:r>
      <w:r>
        <w:rPr>
          <w:noProof/>
          <w:sz w:val="18"/>
          <w:szCs w:val="18"/>
          <w:lang w:val="id-ID"/>
        </w:rPr>
        <w:t>,</w:t>
      </w:r>
      <w:r w:rsidRPr="000B4E8C">
        <w:rPr>
          <w:noProof/>
          <w:sz w:val="18"/>
          <w:szCs w:val="18"/>
        </w:rPr>
        <w:t xml:space="preserve">” </w:t>
      </w:r>
      <w:r w:rsidRPr="00ED5525">
        <w:rPr>
          <w:i/>
          <w:noProof/>
          <w:sz w:val="18"/>
          <w:szCs w:val="18"/>
        </w:rPr>
        <w:t>Journal of pregnancy hypertension</w:t>
      </w:r>
      <w:r w:rsidRPr="000B4E8C">
        <w:rPr>
          <w:noProof/>
          <w:sz w:val="18"/>
          <w:szCs w:val="18"/>
        </w:rPr>
        <w:t>,</w:t>
      </w:r>
      <w:r w:rsidR="00591FC7">
        <w:rPr>
          <w:noProof/>
          <w:sz w:val="18"/>
          <w:szCs w:val="18"/>
          <w:lang w:val="id-ID"/>
        </w:rPr>
        <w:t>”</w:t>
      </w:r>
      <w:r w:rsidRPr="000B4E8C">
        <w:rPr>
          <w:noProof/>
          <w:sz w:val="18"/>
          <w:szCs w:val="18"/>
        </w:rPr>
        <w:t xml:space="preserve"> </w:t>
      </w:r>
      <w:r>
        <w:rPr>
          <w:noProof/>
          <w:sz w:val="18"/>
          <w:szCs w:val="18"/>
          <w:lang w:val="id-ID"/>
        </w:rPr>
        <w:t>v</w:t>
      </w:r>
      <w:r w:rsidRPr="000B4E8C">
        <w:rPr>
          <w:noProof/>
          <w:sz w:val="18"/>
          <w:szCs w:val="18"/>
        </w:rPr>
        <w:t>ol.</w:t>
      </w:r>
      <w:r>
        <w:rPr>
          <w:noProof/>
          <w:sz w:val="18"/>
          <w:szCs w:val="18"/>
        </w:rPr>
        <w:t xml:space="preserve"> 13, pp. 148-153</w:t>
      </w:r>
      <w:r>
        <w:rPr>
          <w:noProof/>
          <w:sz w:val="18"/>
          <w:szCs w:val="18"/>
          <w:lang w:val="id-ID"/>
        </w:rPr>
        <w:t>,</w:t>
      </w:r>
      <w:r w:rsidRPr="000B4E8C">
        <w:rPr>
          <w:noProof/>
          <w:sz w:val="18"/>
          <w:szCs w:val="18"/>
        </w:rPr>
        <w:t xml:space="preserve"> </w:t>
      </w:r>
      <w:r>
        <w:rPr>
          <w:noProof/>
          <w:sz w:val="18"/>
          <w:szCs w:val="18"/>
          <w:lang w:val="id-ID"/>
        </w:rPr>
        <w:t xml:space="preserve">April </w:t>
      </w:r>
      <w:r w:rsidRPr="000B4E8C">
        <w:rPr>
          <w:noProof/>
          <w:sz w:val="18"/>
          <w:szCs w:val="18"/>
        </w:rPr>
        <w:t>2018.</w:t>
      </w:r>
    </w:p>
    <w:p w:rsidR="001A597E" w:rsidRPr="000B4E8C" w:rsidRDefault="001A597E" w:rsidP="001A597E">
      <w:pPr>
        <w:numPr>
          <w:ilvl w:val="0"/>
          <w:numId w:val="17"/>
        </w:numPr>
        <w:tabs>
          <w:tab w:val="left" w:pos="0"/>
        </w:tabs>
        <w:ind w:left="426" w:hanging="426"/>
        <w:jc w:val="both"/>
        <w:rPr>
          <w:noProof/>
          <w:sz w:val="18"/>
          <w:szCs w:val="18"/>
        </w:rPr>
      </w:pPr>
      <w:r w:rsidRPr="000B4E8C">
        <w:rPr>
          <w:noProof/>
          <w:sz w:val="18"/>
          <w:szCs w:val="18"/>
        </w:rPr>
        <w:lastRenderedPageBreak/>
        <w:t>Dinas Kesehatan Bantul</w:t>
      </w:r>
      <w:r>
        <w:rPr>
          <w:noProof/>
          <w:sz w:val="18"/>
          <w:szCs w:val="18"/>
          <w:lang w:val="id-ID"/>
        </w:rPr>
        <w:t>;,</w:t>
      </w:r>
      <w:r w:rsidRPr="000B4E8C">
        <w:rPr>
          <w:noProof/>
          <w:sz w:val="18"/>
          <w:szCs w:val="18"/>
        </w:rPr>
        <w:t xml:space="preserve"> </w:t>
      </w:r>
      <w:r w:rsidR="006D335A">
        <w:rPr>
          <w:noProof/>
          <w:sz w:val="18"/>
          <w:szCs w:val="18"/>
          <w:lang w:val="id-ID"/>
        </w:rPr>
        <w:t>“</w:t>
      </w:r>
      <w:r w:rsidR="00C76A1A">
        <w:rPr>
          <w:i/>
          <w:noProof/>
          <w:sz w:val="18"/>
          <w:szCs w:val="18"/>
        </w:rPr>
        <w:t>Profil Kesehatan Kab</w:t>
      </w:r>
      <w:r w:rsidRPr="000B4E8C">
        <w:rPr>
          <w:i/>
          <w:noProof/>
          <w:sz w:val="18"/>
          <w:szCs w:val="18"/>
        </w:rPr>
        <w:t>upaten Bantul Tahun 2017</w:t>
      </w:r>
      <w:r w:rsidR="006D335A">
        <w:rPr>
          <w:i/>
          <w:noProof/>
          <w:sz w:val="18"/>
          <w:szCs w:val="18"/>
          <w:lang w:val="id-ID"/>
        </w:rPr>
        <w:t>”</w:t>
      </w:r>
      <w:r w:rsidRPr="000B4E8C">
        <w:rPr>
          <w:noProof/>
          <w:sz w:val="18"/>
          <w:szCs w:val="18"/>
        </w:rPr>
        <w:t>, Yogyakarta, Dinas Kesehatan Kabupaten Ba</w:t>
      </w:r>
      <w:r>
        <w:rPr>
          <w:noProof/>
          <w:sz w:val="18"/>
          <w:szCs w:val="18"/>
        </w:rPr>
        <w:t>ntul</w:t>
      </w:r>
      <w:r w:rsidR="00E35528">
        <w:rPr>
          <w:noProof/>
          <w:sz w:val="18"/>
          <w:szCs w:val="18"/>
          <w:lang w:val="id-ID"/>
        </w:rPr>
        <w:t>, Dec</w:t>
      </w:r>
      <w:r>
        <w:rPr>
          <w:noProof/>
          <w:sz w:val="18"/>
          <w:szCs w:val="18"/>
          <w:lang w:val="id-ID"/>
        </w:rPr>
        <w:t>ember 2017.</w:t>
      </w:r>
    </w:p>
    <w:p w:rsidR="001A597E" w:rsidRPr="001835FA" w:rsidRDefault="001A597E" w:rsidP="001A597E">
      <w:pPr>
        <w:numPr>
          <w:ilvl w:val="0"/>
          <w:numId w:val="17"/>
        </w:numPr>
        <w:tabs>
          <w:tab w:val="left" w:pos="0"/>
        </w:tabs>
        <w:ind w:left="426" w:hanging="426"/>
        <w:jc w:val="both"/>
        <w:rPr>
          <w:noProof/>
          <w:sz w:val="18"/>
          <w:szCs w:val="18"/>
          <w:lang w:val="id-ID"/>
        </w:rPr>
      </w:pPr>
      <w:r w:rsidRPr="001835FA">
        <w:rPr>
          <w:noProof/>
          <w:sz w:val="18"/>
          <w:szCs w:val="18"/>
        </w:rPr>
        <w:t>Cohen</w:t>
      </w:r>
      <w:r>
        <w:rPr>
          <w:noProof/>
          <w:sz w:val="18"/>
          <w:szCs w:val="18"/>
          <w:lang w:val="id-ID"/>
        </w:rPr>
        <w:t>,</w:t>
      </w:r>
      <w:r w:rsidRPr="001835FA">
        <w:rPr>
          <w:noProof/>
          <w:sz w:val="18"/>
          <w:szCs w:val="18"/>
        </w:rPr>
        <w:t xml:space="preserve"> J</w:t>
      </w:r>
      <w:r>
        <w:rPr>
          <w:noProof/>
          <w:sz w:val="18"/>
          <w:szCs w:val="18"/>
          <w:lang w:val="id-ID"/>
        </w:rPr>
        <w:t>.</w:t>
      </w:r>
      <w:r w:rsidRPr="001835FA">
        <w:rPr>
          <w:noProof/>
          <w:sz w:val="18"/>
          <w:szCs w:val="18"/>
        </w:rPr>
        <w:t>M</w:t>
      </w:r>
      <w:r w:rsidR="00091C52">
        <w:rPr>
          <w:noProof/>
          <w:sz w:val="18"/>
          <w:szCs w:val="18"/>
        </w:rPr>
        <w:t>.</w:t>
      </w:r>
      <w:r>
        <w:rPr>
          <w:noProof/>
          <w:sz w:val="18"/>
          <w:szCs w:val="18"/>
          <w:lang w:val="id-ID"/>
        </w:rPr>
        <w:t>;</w:t>
      </w:r>
      <w:r w:rsidRPr="001835FA">
        <w:rPr>
          <w:noProof/>
          <w:sz w:val="18"/>
          <w:szCs w:val="18"/>
        </w:rPr>
        <w:t xml:space="preserve"> Kramer</w:t>
      </w:r>
      <w:r>
        <w:rPr>
          <w:noProof/>
          <w:sz w:val="18"/>
          <w:szCs w:val="18"/>
          <w:lang w:val="id-ID"/>
        </w:rPr>
        <w:t>,</w:t>
      </w:r>
      <w:r w:rsidRPr="001835FA">
        <w:rPr>
          <w:noProof/>
          <w:sz w:val="18"/>
          <w:szCs w:val="18"/>
        </w:rPr>
        <w:t xml:space="preserve"> M</w:t>
      </w:r>
      <w:r>
        <w:rPr>
          <w:noProof/>
          <w:sz w:val="18"/>
          <w:szCs w:val="18"/>
          <w:lang w:val="id-ID"/>
        </w:rPr>
        <w:t>.</w:t>
      </w:r>
      <w:r>
        <w:rPr>
          <w:noProof/>
          <w:sz w:val="18"/>
          <w:szCs w:val="18"/>
        </w:rPr>
        <w:t>S</w:t>
      </w:r>
      <w:r w:rsidR="00091C52">
        <w:rPr>
          <w:noProof/>
          <w:sz w:val="18"/>
          <w:szCs w:val="18"/>
        </w:rPr>
        <w:t>.</w:t>
      </w:r>
      <w:r>
        <w:rPr>
          <w:noProof/>
          <w:sz w:val="18"/>
          <w:szCs w:val="18"/>
          <w:lang w:val="id-ID"/>
        </w:rPr>
        <w:t>;</w:t>
      </w:r>
      <w:r w:rsidRPr="001835FA">
        <w:rPr>
          <w:noProof/>
          <w:sz w:val="18"/>
          <w:szCs w:val="18"/>
        </w:rPr>
        <w:t xml:space="preserve"> Platt</w:t>
      </w:r>
      <w:r>
        <w:rPr>
          <w:noProof/>
          <w:sz w:val="18"/>
          <w:szCs w:val="18"/>
          <w:lang w:val="id-ID"/>
        </w:rPr>
        <w:t>,</w:t>
      </w:r>
      <w:r w:rsidRPr="001835FA">
        <w:rPr>
          <w:noProof/>
          <w:sz w:val="18"/>
          <w:szCs w:val="18"/>
        </w:rPr>
        <w:t xml:space="preserve"> R</w:t>
      </w:r>
      <w:r>
        <w:rPr>
          <w:noProof/>
          <w:sz w:val="18"/>
          <w:szCs w:val="18"/>
          <w:lang w:val="id-ID"/>
        </w:rPr>
        <w:t>.</w:t>
      </w:r>
      <w:r>
        <w:rPr>
          <w:noProof/>
          <w:sz w:val="18"/>
          <w:szCs w:val="18"/>
        </w:rPr>
        <w:t>W</w:t>
      </w:r>
      <w:r w:rsidR="00091C52">
        <w:rPr>
          <w:noProof/>
          <w:sz w:val="18"/>
          <w:szCs w:val="18"/>
        </w:rPr>
        <w:t>.</w:t>
      </w:r>
      <w:r>
        <w:rPr>
          <w:noProof/>
          <w:sz w:val="18"/>
          <w:szCs w:val="18"/>
          <w:lang w:val="id-ID"/>
        </w:rPr>
        <w:t>;</w:t>
      </w:r>
      <w:r>
        <w:rPr>
          <w:noProof/>
          <w:sz w:val="18"/>
          <w:szCs w:val="18"/>
        </w:rPr>
        <w:t xml:space="preserve"> Basso</w:t>
      </w:r>
      <w:r>
        <w:rPr>
          <w:noProof/>
          <w:sz w:val="18"/>
          <w:szCs w:val="18"/>
          <w:lang w:val="id-ID"/>
        </w:rPr>
        <w:t>,</w:t>
      </w:r>
      <w:r>
        <w:rPr>
          <w:noProof/>
          <w:sz w:val="18"/>
          <w:szCs w:val="18"/>
        </w:rPr>
        <w:t xml:space="preserve"> O</w:t>
      </w:r>
      <w:r w:rsidR="00091C52">
        <w:rPr>
          <w:noProof/>
          <w:sz w:val="18"/>
          <w:szCs w:val="18"/>
        </w:rPr>
        <w:t>.</w:t>
      </w:r>
      <w:r>
        <w:rPr>
          <w:noProof/>
          <w:sz w:val="18"/>
          <w:szCs w:val="18"/>
          <w:lang w:val="id-ID"/>
        </w:rPr>
        <w:t>;</w:t>
      </w:r>
      <w:r w:rsidRPr="001835FA">
        <w:rPr>
          <w:noProof/>
          <w:sz w:val="18"/>
          <w:szCs w:val="18"/>
        </w:rPr>
        <w:t xml:space="preserve"> Evans R</w:t>
      </w:r>
      <w:r>
        <w:rPr>
          <w:noProof/>
          <w:sz w:val="18"/>
          <w:szCs w:val="18"/>
          <w:lang w:val="id-ID"/>
        </w:rPr>
        <w:t>.</w:t>
      </w:r>
      <w:r>
        <w:rPr>
          <w:noProof/>
          <w:sz w:val="18"/>
          <w:szCs w:val="18"/>
        </w:rPr>
        <w:t>W</w:t>
      </w:r>
      <w:r w:rsidR="00091C52">
        <w:rPr>
          <w:noProof/>
          <w:sz w:val="18"/>
          <w:szCs w:val="18"/>
        </w:rPr>
        <w:t>.</w:t>
      </w:r>
      <w:r>
        <w:rPr>
          <w:noProof/>
          <w:sz w:val="18"/>
          <w:szCs w:val="18"/>
          <w:lang w:val="id-ID"/>
        </w:rPr>
        <w:t>;</w:t>
      </w:r>
      <w:r w:rsidRPr="001835FA">
        <w:rPr>
          <w:noProof/>
          <w:sz w:val="18"/>
          <w:szCs w:val="18"/>
        </w:rPr>
        <w:t xml:space="preserve"> Kahn S</w:t>
      </w:r>
      <w:r>
        <w:rPr>
          <w:noProof/>
          <w:sz w:val="18"/>
          <w:szCs w:val="18"/>
          <w:lang w:val="id-ID"/>
        </w:rPr>
        <w:t>.</w:t>
      </w:r>
      <w:r>
        <w:rPr>
          <w:noProof/>
          <w:sz w:val="18"/>
          <w:szCs w:val="18"/>
        </w:rPr>
        <w:t>R</w:t>
      </w:r>
      <w:r w:rsidR="00091C52">
        <w:rPr>
          <w:noProof/>
          <w:sz w:val="18"/>
          <w:szCs w:val="18"/>
        </w:rPr>
        <w:t>.</w:t>
      </w:r>
      <w:r>
        <w:rPr>
          <w:noProof/>
          <w:sz w:val="18"/>
          <w:szCs w:val="18"/>
          <w:lang w:val="id-ID"/>
        </w:rPr>
        <w:t>;</w:t>
      </w:r>
      <w:r w:rsidR="00091C52">
        <w:rPr>
          <w:noProof/>
          <w:sz w:val="18"/>
          <w:szCs w:val="18"/>
          <w:lang w:val="en-ID"/>
        </w:rPr>
        <w:t xml:space="preserve">, </w:t>
      </w:r>
      <w:r>
        <w:rPr>
          <w:noProof/>
          <w:sz w:val="18"/>
          <w:szCs w:val="18"/>
          <w:lang w:val="id-ID"/>
        </w:rPr>
        <w:t>“</w:t>
      </w:r>
      <w:r w:rsidRPr="001835FA">
        <w:rPr>
          <w:noProof/>
          <w:sz w:val="18"/>
          <w:szCs w:val="18"/>
          <w:lang w:val="id-ID"/>
        </w:rPr>
        <w:t>The Association Between Maternal Antioxidant Levels I</w:t>
      </w:r>
      <w:r>
        <w:rPr>
          <w:noProof/>
          <w:sz w:val="18"/>
          <w:szCs w:val="18"/>
          <w:lang w:val="id-ID"/>
        </w:rPr>
        <w:t>n Midpregnancy And Preeclampsia,”</w:t>
      </w:r>
      <w:r w:rsidRPr="001835FA">
        <w:t xml:space="preserve"> </w:t>
      </w:r>
      <w:r w:rsidRPr="00ED5525">
        <w:rPr>
          <w:i/>
          <w:noProof/>
          <w:sz w:val="18"/>
          <w:szCs w:val="18"/>
          <w:lang w:val="id-ID"/>
        </w:rPr>
        <w:t>American Journal Obstetric Gynecology</w:t>
      </w:r>
      <w:r>
        <w:rPr>
          <w:noProof/>
          <w:sz w:val="18"/>
          <w:szCs w:val="18"/>
          <w:lang w:val="id-ID"/>
        </w:rPr>
        <w:t>, v</w:t>
      </w:r>
      <w:r w:rsidRPr="000B4E8C">
        <w:rPr>
          <w:noProof/>
          <w:sz w:val="18"/>
          <w:szCs w:val="18"/>
        </w:rPr>
        <w:t>ol.</w:t>
      </w:r>
      <w:r>
        <w:rPr>
          <w:noProof/>
          <w:sz w:val="18"/>
          <w:szCs w:val="18"/>
        </w:rPr>
        <w:t xml:space="preserve"> </w:t>
      </w:r>
      <w:r>
        <w:rPr>
          <w:noProof/>
          <w:sz w:val="18"/>
          <w:szCs w:val="18"/>
          <w:lang w:val="id-ID"/>
        </w:rPr>
        <w:t>2</w:t>
      </w:r>
      <w:r>
        <w:rPr>
          <w:noProof/>
          <w:sz w:val="18"/>
          <w:szCs w:val="18"/>
        </w:rPr>
        <w:t>13</w:t>
      </w:r>
      <w:r w:rsidR="00E35528">
        <w:rPr>
          <w:noProof/>
          <w:sz w:val="18"/>
          <w:szCs w:val="18"/>
          <w:lang w:val="id-ID"/>
        </w:rPr>
        <w:t>, no.5,</w:t>
      </w:r>
      <w:r w:rsidR="00C76A1A">
        <w:rPr>
          <w:noProof/>
          <w:sz w:val="18"/>
          <w:szCs w:val="18"/>
          <w:lang w:val="id-ID"/>
        </w:rPr>
        <w:t xml:space="preserve"> </w:t>
      </w:r>
      <w:r w:rsidR="00E35528">
        <w:rPr>
          <w:noProof/>
          <w:sz w:val="18"/>
          <w:szCs w:val="18"/>
          <w:lang w:val="id-ID"/>
        </w:rPr>
        <w:t>pp. 695-708, N</w:t>
      </w:r>
      <w:r>
        <w:rPr>
          <w:noProof/>
          <w:sz w:val="18"/>
          <w:szCs w:val="18"/>
          <w:lang w:val="id-ID"/>
        </w:rPr>
        <w:t>ovember 2015.</w:t>
      </w:r>
    </w:p>
    <w:p w:rsidR="001A597E" w:rsidRPr="00ED5525" w:rsidRDefault="001A597E" w:rsidP="001A597E">
      <w:pPr>
        <w:numPr>
          <w:ilvl w:val="0"/>
          <w:numId w:val="17"/>
        </w:numPr>
        <w:tabs>
          <w:tab w:val="left" w:pos="0"/>
        </w:tabs>
        <w:ind w:left="426" w:hanging="426"/>
        <w:jc w:val="both"/>
        <w:rPr>
          <w:noProof/>
          <w:sz w:val="18"/>
          <w:szCs w:val="18"/>
        </w:rPr>
      </w:pPr>
      <w:r>
        <w:rPr>
          <w:sz w:val="18"/>
          <w:szCs w:val="18"/>
        </w:rPr>
        <w:t>Tan, B.L</w:t>
      </w:r>
      <w:r w:rsidR="00091C52">
        <w:rPr>
          <w:sz w:val="18"/>
          <w:szCs w:val="18"/>
        </w:rPr>
        <w:t>.</w:t>
      </w:r>
      <w:r>
        <w:rPr>
          <w:sz w:val="18"/>
          <w:szCs w:val="18"/>
          <w:lang w:val="id-ID"/>
        </w:rPr>
        <w:t>;</w:t>
      </w:r>
      <w:r>
        <w:rPr>
          <w:sz w:val="18"/>
          <w:szCs w:val="18"/>
        </w:rPr>
        <w:t xml:space="preserve"> Norhaizan, M.E</w:t>
      </w:r>
      <w:r w:rsidR="00091C52">
        <w:rPr>
          <w:sz w:val="18"/>
          <w:szCs w:val="18"/>
        </w:rPr>
        <w:t>.</w:t>
      </w:r>
      <w:r>
        <w:rPr>
          <w:sz w:val="18"/>
          <w:szCs w:val="18"/>
          <w:lang w:val="id-ID"/>
        </w:rPr>
        <w:t>;</w:t>
      </w:r>
      <w:r>
        <w:rPr>
          <w:sz w:val="18"/>
          <w:szCs w:val="18"/>
        </w:rPr>
        <w:t xml:space="preserve"> Liew, W.P.P</w:t>
      </w:r>
      <w:r w:rsidR="00091C52">
        <w:rPr>
          <w:sz w:val="18"/>
          <w:szCs w:val="18"/>
        </w:rPr>
        <w:t>.</w:t>
      </w:r>
      <w:r>
        <w:rPr>
          <w:sz w:val="18"/>
          <w:szCs w:val="18"/>
          <w:lang w:val="id-ID"/>
        </w:rPr>
        <w:t>;</w:t>
      </w:r>
      <w:r w:rsidR="00091C52">
        <w:rPr>
          <w:sz w:val="18"/>
          <w:szCs w:val="18"/>
          <w:lang w:val="en-ID"/>
        </w:rPr>
        <w:t>,</w:t>
      </w:r>
      <w:r w:rsidRPr="00ED5525">
        <w:rPr>
          <w:sz w:val="18"/>
          <w:szCs w:val="18"/>
        </w:rPr>
        <w:t xml:space="preserve"> “Nutrients and Oxidative Stress: Friend or Foe</w:t>
      </w:r>
      <w:r w:rsidR="00591FC7" w:rsidRPr="00591FC7">
        <w:rPr>
          <w:sz w:val="18"/>
          <w:szCs w:val="18"/>
        </w:rPr>
        <w:t>?</w:t>
      </w:r>
      <w:r w:rsidR="00591FC7">
        <w:rPr>
          <w:sz w:val="18"/>
          <w:szCs w:val="18"/>
          <w:lang w:val="id-ID"/>
        </w:rPr>
        <w:t>,”</w:t>
      </w:r>
      <w:r w:rsidRPr="00ED5525">
        <w:rPr>
          <w:i/>
          <w:sz w:val="18"/>
          <w:szCs w:val="18"/>
        </w:rPr>
        <w:t xml:space="preserve"> Journal of Oxidative Medicine and Cellular Longevity,</w:t>
      </w:r>
      <w:r>
        <w:rPr>
          <w:sz w:val="18"/>
          <w:szCs w:val="18"/>
        </w:rPr>
        <w:t xml:space="preserve"> </w:t>
      </w:r>
      <w:r w:rsidR="00591FC7">
        <w:rPr>
          <w:sz w:val="18"/>
          <w:szCs w:val="18"/>
          <w:lang w:val="id-ID"/>
        </w:rPr>
        <w:t>v</w:t>
      </w:r>
      <w:r w:rsidRPr="00ED5525">
        <w:rPr>
          <w:sz w:val="18"/>
          <w:szCs w:val="18"/>
        </w:rPr>
        <w:t xml:space="preserve">ol. </w:t>
      </w:r>
      <w:r>
        <w:rPr>
          <w:sz w:val="18"/>
          <w:szCs w:val="18"/>
          <w:lang w:val="id-ID"/>
        </w:rPr>
        <w:t>2</w:t>
      </w:r>
      <w:r w:rsidRPr="00ED5525">
        <w:rPr>
          <w:sz w:val="18"/>
          <w:szCs w:val="18"/>
        </w:rPr>
        <w:t>18, pp. 1-24</w:t>
      </w:r>
      <w:r>
        <w:rPr>
          <w:sz w:val="18"/>
          <w:szCs w:val="18"/>
          <w:lang w:val="id-ID"/>
        </w:rPr>
        <w:t>,</w:t>
      </w:r>
      <w:r w:rsidR="00E35528">
        <w:rPr>
          <w:sz w:val="18"/>
          <w:szCs w:val="18"/>
        </w:rPr>
        <w:t xml:space="preserve"> </w:t>
      </w:r>
      <w:r w:rsidR="00E35528">
        <w:rPr>
          <w:sz w:val="18"/>
          <w:szCs w:val="18"/>
          <w:lang w:val="id-ID"/>
        </w:rPr>
        <w:t>A</w:t>
      </w:r>
      <w:r w:rsidR="00E35528">
        <w:rPr>
          <w:sz w:val="18"/>
          <w:szCs w:val="18"/>
        </w:rPr>
        <w:t>ug</w:t>
      </w:r>
      <w:r w:rsidR="00E35528">
        <w:rPr>
          <w:sz w:val="18"/>
          <w:szCs w:val="18"/>
          <w:lang w:val="id-ID"/>
        </w:rPr>
        <w:t>ust</w:t>
      </w:r>
      <w:r w:rsidRPr="00D03226">
        <w:rPr>
          <w:sz w:val="18"/>
          <w:szCs w:val="18"/>
        </w:rPr>
        <w:t xml:space="preserve"> </w:t>
      </w:r>
      <w:r w:rsidRPr="00ED5525">
        <w:rPr>
          <w:sz w:val="18"/>
          <w:szCs w:val="18"/>
        </w:rPr>
        <w:t>2018</w:t>
      </w:r>
    </w:p>
    <w:p w:rsidR="001A597E" w:rsidRPr="00ED5525" w:rsidRDefault="001A597E" w:rsidP="001A597E">
      <w:pPr>
        <w:numPr>
          <w:ilvl w:val="0"/>
          <w:numId w:val="17"/>
        </w:numPr>
        <w:tabs>
          <w:tab w:val="left" w:pos="0"/>
        </w:tabs>
        <w:ind w:left="426" w:hanging="426"/>
        <w:jc w:val="both"/>
        <w:rPr>
          <w:noProof/>
          <w:sz w:val="18"/>
          <w:szCs w:val="18"/>
        </w:rPr>
      </w:pPr>
      <w:r>
        <w:rPr>
          <w:noProof/>
          <w:sz w:val="18"/>
          <w:szCs w:val="18"/>
        </w:rPr>
        <w:t>Prawirohardjo, S</w:t>
      </w:r>
      <w:r>
        <w:rPr>
          <w:noProof/>
          <w:sz w:val="18"/>
          <w:szCs w:val="18"/>
          <w:lang w:val="id-ID"/>
        </w:rPr>
        <w:t>;</w:t>
      </w:r>
      <w:r w:rsidR="006D335A">
        <w:rPr>
          <w:noProof/>
          <w:sz w:val="18"/>
          <w:szCs w:val="18"/>
          <w:lang w:val="id-ID"/>
        </w:rPr>
        <w:t>,</w:t>
      </w:r>
      <w:r w:rsidRPr="00ED5525">
        <w:rPr>
          <w:noProof/>
          <w:sz w:val="18"/>
          <w:szCs w:val="18"/>
        </w:rPr>
        <w:t xml:space="preserve"> </w:t>
      </w:r>
      <w:r w:rsidR="006D335A">
        <w:rPr>
          <w:noProof/>
          <w:sz w:val="18"/>
          <w:szCs w:val="18"/>
          <w:lang w:val="id-ID"/>
        </w:rPr>
        <w:t>“</w:t>
      </w:r>
      <w:r w:rsidRPr="00ED5525">
        <w:rPr>
          <w:noProof/>
          <w:sz w:val="18"/>
          <w:szCs w:val="18"/>
        </w:rPr>
        <w:t>Ilmu Kebid</w:t>
      </w:r>
      <w:r>
        <w:rPr>
          <w:noProof/>
          <w:sz w:val="18"/>
          <w:szCs w:val="18"/>
        </w:rPr>
        <w:t>anan</w:t>
      </w:r>
      <w:r w:rsidR="006D335A">
        <w:rPr>
          <w:noProof/>
          <w:sz w:val="18"/>
          <w:szCs w:val="18"/>
          <w:lang w:val="id-ID"/>
        </w:rPr>
        <w:t>”</w:t>
      </w:r>
      <w:r>
        <w:rPr>
          <w:noProof/>
          <w:sz w:val="18"/>
          <w:szCs w:val="18"/>
          <w:lang w:val="id-ID"/>
        </w:rPr>
        <w:t>,</w:t>
      </w:r>
      <w:r>
        <w:rPr>
          <w:noProof/>
          <w:sz w:val="18"/>
          <w:szCs w:val="18"/>
        </w:rPr>
        <w:t xml:space="preserve"> Jakarta</w:t>
      </w:r>
      <w:r>
        <w:rPr>
          <w:noProof/>
          <w:sz w:val="18"/>
          <w:szCs w:val="18"/>
          <w:lang w:val="id-ID"/>
        </w:rPr>
        <w:t xml:space="preserve">, </w:t>
      </w:r>
      <w:r>
        <w:rPr>
          <w:noProof/>
          <w:sz w:val="18"/>
          <w:szCs w:val="18"/>
        </w:rPr>
        <w:t>PT. Bina Pustaka</w:t>
      </w:r>
      <w:r>
        <w:rPr>
          <w:noProof/>
          <w:sz w:val="18"/>
          <w:szCs w:val="18"/>
          <w:lang w:val="id-ID"/>
        </w:rPr>
        <w:t xml:space="preserve">, april </w:t>
      </w:r>
      <w:r w:rsidRPr="00ED5525">
        <w:rPr>
          <w:noProof/>
          <w:sz w:val="18"/>
          <w:szCs w:val="18"/>
        </w:rPr>
        <w:t>2013.</w:t>
      </w:r>
    </w:p>
    <w:p w:rsidR="001A597E" w:rsidRPr="00ED5525" w:rsidRDefault="001A597E" w:rsidP="001A597E">
      <w:pPr>
        <w:numPr>
          <w:ilvl w:val="0"/>
          <w:numId w:val="17"/>
        </w:numPr>
        <w:tabs>
          <w:tab w:val="left" w:pos="0"/>
        </w:tabs>
        <w:ind w:left="426" w:hanging="426"/>
        <w:jc w:val="both"/>
        <w:rPr>
          <w:noProof/>
          <w:sz w:val="18"/>
          <w:szCs w:val="18"/>
        </w:rPr>
      </w:pPr>
      <w:r>
        <w:rPr>
          <w:noProof/>
          <w:sz w:val="18"/>
          <w:szCs w:val="18"/>
        </w:rPr>
        <w:t>Khaing, W.</w:t>
      </w:r>
      <w:r>
        <w:rPr>
          <w:noProof/>
          <w:sz w:val="18"/>
          <w:szCs w:val="18"/>
          <w:lang w:val="id-ID"/>
        </w:rPr>
        <w:t>;</w:t>
      </w:r>
      <w:r>
        <w:rPr>
          <w:noProof/>
          <w:sz w:val="18"/>
          <w:szCs w:val="18"/>
        </w:rPr>
        <w:t>Vallibhakara, S.A</w:t>
      </w:r>
      <w:r w:rsidR="00091C52">
        <w:rPr>
          <w:noProof/>
          <w:sz w:val="18"/>
          <w:szCs w:val="18"/>
        </w:rPr>
        <w:t>.</w:t>
      </w:r>
      <w:r>
        <w:rPr>
          <w:noProof/>
          <w:sz w:val="18"/>
          <w:szCs w:val="18"/>
        </w:rPr>
        <w:t>; Tantrakul, V.</w:t>
      </w:r>
      <w:r>
        <w:rPr>
          <w:noProof/>
          <w:sz w:val="18"/>
          <w:szCs w:val="18"/>
          <w:lang w:val="id-ID"/>
        </w:rPr>
        <w:t>;</w:t>
      </w:r>
      <w:r>
        <w:rPr>
          <w:noProof/>
          <w:sz w:val="18"/>
          <w:szCs w:val="18"/>
        </w:rPr>
        <w:t>Vallibhakara, O.</w:t>
      </w:r>
      <w:r>
        <w:rPr>
          <w:noProof/>
          <w:sz w:val="18"/>
          <w:szCs w:val="18"/>
          <w:lang w:val="id-ID"/>
        </w:rPr>
        <w:t>;</w:t>
      </w:r>
      <w:r>
        <w:rPr>
          <w:noProof/>
          <w:sz w:val="18"/>
          <w:szCs w:val="18"/>
        </w:rPr>
        <w:t xml:space="preserve"> Rattanasiri, S.</w:t>
      </w:r>
      <w:r>
        <w:rPr>
          <w:noProof/>
          <w:sz w:val="18"/>
          <w:szCs w:val="18"/>
          <w:lang w:val="id-ID"/>
        </w:rPr>
        <w:t>;</w:t>
      </w:r>
      <w:r>
        <w:rPr>
          <w:noProof/>
          <w:sz w:val="18"/>
          <w:szCs w:val="18"/>
        </w:rPr>
        <w:t xml:space="preserve"> McEvoy, M.</w:t>
      </w:r>
      <w:r>
        <w:rPr>
          <w:noProof/>
          <w:sz w:val="18"/>
          <w:szCs w:val="18"/>
          <w:lang w:val="id-ID"/>
        </w:rPr>
        <w:t>;</w:t>
      </w:r>
      <w:r w:rsidR="00091C52">
        <w:rPr>
          <w:noProof/>
          <w:sz w:val="18"/>
          <w:szCs w:val="18"/>
        </w:rPr>
        <w:t xml:space="preserve"> Attia</w:t>
      </w:r>
      <w:r>
        <w:rPr>
          <w:noProof/>
          <w:sz w:val="18"/>
          <w:szCs w:val="18"/>
        </w:rPr>
        <w:t>, J.</w:t>
      </w:r>
      <w:r>
        <w:rPr>
          <w:noProof/>
          <w:sz w:val="18"/>
          <w:szCs w:val="18"/>
          <w:lang w:val="id-ID"/>
        </w:rPr>
        <w:t>;</w:t>
      </w:r>
      <w:r w:rsidRPr="00ED5525">
        <w:rPr>
          <w:noProof/>
          <w:sz w:val="18"/>
          <w:szCs w:val="18"/>
        </w:rPr>
        <w:t xml:space="preserve">  Thakkinstian, A.</w:t>
      </w:r>
      <w:r>
        <w:rPr>
          <w:noProof/>
          <w:sz w:val="18"/>
          <w:szCs w:val="18"/>
          <w:lang w:val="id-ID"/>
        </w:rPr>
        <w:t>;</w:t>
      </w:r>
      <w:r w:rsidR="00091C52">
        <w:rPr>
          <w:noProof/>
          <w:sz w:val="18"/>
          <w:szCs w:val="18"/>
          <w:lang w:val="en-ID"/>
        </w:rPr>
        <w:t>,</w:t>
      </w:r>
      <w:r w:rsidRPr="00ED5525">
        <w:rPr>
          <w:noProof/>
          <w:sz w:val="18"/>
          <w:szCs w:val="18"/>
        </w:rPr>
        <w:t xml:space="preserve"> “Calcium and Vitamin D Supplementation for Prevention of Preeclampsia: A Systematic Review and Network Meta-Analysis</w:t>
      </w:r>
      <w:r w:rsidR="00591FC7">
        <w:rPr>
          <w:noProof/>
          <w:sz w:val="18"/>
          <w:szCs w:val="18"/>
          <w:lang w:val="id-ID"/>
        </w:rPr>
        <w:t>,</w:t>
      </w:r>
      <w:r w:rsidR="00591FC7">
        <w:rPr>
          <w:noProof/>
          <w:sz w:val="18"/>
          <w:szCs w:val="18"/>
        </w:rPr>
        <w:t>”</w:t>
      </w:r>
      <w:r w:rsidRPr="00ED5525">
        <w:rPr>
          <w:i/>
          <w:noProof/>
          <w:sz w:val="18"/>
          <w:szCs w:val="18"/>
        </w:rPr>
        <w:t>Journal of Nutritions</w:t>
      </w:r>
      <w:r>
        <w:rPr>
          <w:noProof/>
          <w:sz w:val="18"/>
          <w:szCs w:val="18"/>
        </w:rPr>
        <w:t xml:space="preserve">, </w:t>
      </w:r>
      <w:r>
        <w:rPr>
          <w:noProof/>
          <w:sz w:val="18"/>
          <w:szCs w:val="18"/>
          <w:lang w:val="id-ID"/>
        </w:rPr>
        <w:t>v</w:t>
      </w:r>
      <w:r>
        <w:rPr>
          <w:noProof/>
          <w:sz w:val="18"/>
          <w:szCs w:val="18"/>
        </w:rPr>
        <w:t xml:space="preserve">ol. 9, </w:t>
      </w:r>
      <w:r>
        <w:rPr>
          <w:noProof/>
          <w:sz w:val="18"/>
          <w:szCs w:val="18"/>
          <w:lang w:val="id-ID"/>
        </w:rPr>
        <w:t>n</w:t>
      </w:r>
      <w:r w:rsidRPr="00ED5525">
        <w:rPr>
          <w:noProof/>
          <w:sz w:val="18"/>
          <w:szCs w:val="18"/>
        </w:rPr>
        <w:t>o. 10, pp. 1141</w:t>
      </w:r>
      <w:r w:rsidR="00E35528">
        <w:rPr>
          <w:noProof/>
          <w:sz w:val="18"/>
          <w:szCs w:val="18"/>
          <w:lang w:val="id-ID"/>
        </w:rPr>
        <w:t>-1150, J</w:t>
      </w:r>
      <w:r>
        <w:rPr>
          <w:noProof/>
          <w:sz w:val="18"/>
          <w:szCs w:val="18"/>
          <w:lang w:val="id-ID"/>
        </w:rPr>
        <w:t xml:space="preserve">une </w:t>
      </w:r>
      <w:r>
        <w:rPr>
          <w:noProof/>
          <w:sz w:val="18"/>
          <w:szCs w:val="18"/>
        </w:rPr>
        <w:t>2017.</w:t>
      </w:r>
    </w:p>
    <w:p w:rsidR="001A597E" w:rsidRPr="00ED5525" w:rsidRDefault="001A597E" w:rsidP="001A597E">
      <w:pPr>
        <w:numPr>
          <w:ilvl w:val="0"/>
          <w:numId w:val="17"/>
        </w:numPr>
        <w:tabs>
          <w:tab w:val="left" w:pos="0"/>
        </w:tabs>
        <w:ind w:left="426" w:hanging="426"/>
        <w:jc w:val="both"/>
        <w:rPr>
          <w:noProof/>
          <w:sz w:val="18"/>
          <w:szCs w:val="18"/>
        </w:rPr>
      </w:pPr>
      <w:r>
        <w:rPr>
          <w:noProof/>
          <w:sz w:val="18"/>
          <w:szCs w:val="18"/>
        </w:rPr>
        <w:t>Hofmeyr, G.J</w:t>
      </w:r>
      <w:r w:rsidR="00091C52">
        <w:rPr>
          <w:noProof/>
          <w:sz w:val="18"/>
          <w:szCs w:val="18"/>
        </w:rPr>
        <w:t>.</w:t>
      </w:r>
      <w:r>
        <w:rPr>
          <w:noProof/>
          <w:sz w:val="18"/>
          <w:szCs w:val="18"/>
          <w:lang w:val="id-ID"/>
        </w:rPr>
        <w:t>;</w:t>
      </w:r>
      <w:r>
        <w:rPr>
          <w:noProof/>
          <w:sz w:val="18"/>
          <w:szCs w:val="18"/>
        </w:rPr>
        <w:t xml:space="preserve"> and Atallah, D</w:t>
      </w:r>
      <w:r w:rsidR="00091C52">
        <w:rPr>
          <w:noProof/>
          <w:sz w:val="18"/>
          <w:szCs w:val="18"/>
        </w:rPr>
        <w:t>.</w:t>
      </w:r>
      <w:r>
        <w:rPr>
          <w:noProof/>
          <w:sz w:val="18"/>
          <w:szCs w:val="18"/>
          <w:lang w:val="id-ID"/>
        </w:rPr>
        <w:t>;</w:t>
      </w:r>
      <w:r w:rsidR="00091C52">
        <w:rPr>
          <w:noProof/>
          <w:sz w:val="18"/>
          <w:szCs w:val="18"/>
          <w:lang w:val="en-ID"/>
        </w:rPr>
        <w:t>,</w:t>
      </w:r>
      <w:r>
        <w:rPr>
          <w:noProof/>
          <w:sz w:val="18"/>
          <w:szCs w:val="18"/>
          <w:lang w:val="id-ID"/>
        </w:rPr>
        <w:t xml:space="preserve"> </w:t>
      </w:r>
      <w:r w:rsidRPr="00ED5525">
        <w:rPr>
          <w:noProof/>
          <w:sz w:val="18"/>
          <w:szCs w:val="18"/>
        </w:rPr>
        <w:t>“Dietary calcium supplementation for prevention of pre</w:t>
      </w:r>
      <w:r w:rsidRPr="00ED5525">
        <w:rPr>
          <w:rFonts w:ascii="Cambria Math" w:hAnsi="Cambria Math" w:cs="Cambria Math"/>
          <w:noProof/>
          <w:sz w:val="18"/>
          <w:szCs w:val="18"/>
        </w:rPr>
        <w:t>‐</w:t>
      </w:r>
      <w:r w:rsidRPr="00ED5525">
        <w:rPr>
          <w:noProof/>
          <w:sz w:val="18"/>
          <w:szCs w:val="18"/>
        </w:rPr>
        <w:t>eclampsia and related problems: a s</w:t>
      </w:r>
      <w:r w:rsidR="00591FC7">
        <w:rPr>
          <w:noProof/>
          <w:sz w:val="18"/>
          <w:szCs w:val="18"/>
        </w:rPr>
        <w:t>ystematic review and commentary</w:t>
      </w:r>
      <w:r>
        <w:rPr>
          <w:noProof/>
          <w:sz w:val="18"/>
          <w:szCs w:val="18"/>
          <w:lang w:val="id-ID"/>
        </w:rPr>
        <w:t>,</w:t>
      </w:r>
      <w:r w:rsidR="00591FC7">
        <w:rPr>
          <w:noProof/>
          <w:sz w:val="18"/>
          <w:szCs w:val="18"/>
          <w:lang w:val="id-ID"/>
        </w:rPr>
        <w:t>”</w:t>
      </w:r>
      <w:r w:rsidRPr="00ED5525">
        <w:rPr>
          <w:noProof/>
          <w:sz w:val="18"/>
          <w:szCs w:val="18"/>
        </w:rPr>
        <w:t xml:space="preserve"> </w:t>
      </w:r>
      <w:r w:rsidRPr="00ED5525">
        <w:rPr>
          <w:i/>
          <w:noProof/>
          <w:sz w:val="18"/>
          <w:szCs w:val="18"/>
        </w:rPr>
        <w:t>International Journal of Obstetrics and Gynaecology</w:t>
      </w:r>
      <w:r>
        <w:rPr>
          <w:noProof/>
          <w:sz w:val="18"/>
          <w:szCs w:val="18"/>
          <w:lang w:val="id-ID"/>
        </w:rPr>
        <w:t>,</w:t>
      </w:r>
      <w:r>
        <w:rPr>
          <w:noProof/>
          <w:sz w:val="18"/>
          <w:szCs w:val="18"/>
        </w:rPr>
        <w:t xml:space="preserve"> </w:t>
      </w:r>
      <w:r>
        <w:rPr>
          <w:noProof/>
          <w:sz w:val="18"/>
          <w:szCs w:val="18"/>
          <w:lang w:val="id-ID"/>
        </w:rPr>
        <w:t>v</w:t>
      </w:r>
      <w:r>
        <w:rPr>
          <w:noProof/>
          <w:sz w:val="18"/>
          <w:szCs w:val="18"/>
        </w:rPr>
        <w:t xml:space="preserve">ol. 13, </w:t>
      </w:r>
      <w:r>
        <w:rPr>
          <w:noProof/>
          <w:sz w:val="18"/>
          <w:szCs w:val="18"/>
          <w:lang w:val="id-ID"/>
        </w:rPr>
        <w:t>n</w:t>
      </w:r>
      <w:r>
        <w:rPr>
          <w:noProof/>
          <w:sz w:val="18"/>
          <w:szCs w:val="18"/>
        </w:rPr>
        <w:t>o. 72</w:t>
      </w:r>
      <w:r w:rsidR="00E35528">
        <w:rPr>
          <w:noProof/>
          <w:sz w:val="18"/>
          <w:szCs w:val="18"/>
          <w:lang w:val="id-ID"/>
        </w:rPr>
        <w:t>, J</w:t>
      </w:r>
      <w:r>
        <w:rPr>
          <w:noProof/>
          <w:sz w:val="18"/>
          <w:szCs w:val="18"/>
          <w:lang w:val="id-ID"/>
        </w:rPr>
        <w:t xml:space="preserve">uly </w:t>
      </w:r>
      <w:r w:rsidRPr="00ED5525">
        <w:rPr>
          <w:noProof/>
          <w:sz w:val="18"/>
          <w:szCs w:val="18"/>
        </w:rPr>
        <w:t>2017.</w:t>
      </w:r>
    </w:p>
    <w:p w:rsidR="001A597E" w:rsidRPr="00ED5525" w:rsidRDefault="001A597E" w:rsidP="001A597E">
      <w:pPr>
        <w:numPr>
          <w:ilvl w:val="0"/>
          <w:numId w:val="17"/>
        </w:numPr>
        <w:tabs>
          <w:tab w:val="left" w:pos="0"/>
        </w:tabs>
        <w:ind w:left="426" w:hanging="426"/>
        <w:jc w:val="both"/>
        <w:rPr>
          <w:noProof/>
          <w:sz w:val="18"/>
          <w:szCs w:val="18"/>
        </w:rPr>
      </w:pPr>
      <w:r>
        <w:rPr>
          <w:noProof/>
          <w:sz w:val="18"/>
          <w:szCs w:val="18"/>
        </w:rPr>
        <w:t>Onyeneho, N.</w:t>
      </w:r>
      <w:r>
        <w:rPr>
          <w:noProof/>
          <w:sz w:val="18"/>
          <w:szCs w:val="18"/>
          <w:lang w:val="id-ID"/>
        </w:rPr>
        <w:t>;</w:t>
      </w:r>
      <w:r>
        <w:rPr>
          <w:noProof/>
          <w:sz w:val="18"/>
          <w:szCs w:val="18"/>
        </w:rPr>
        <w:t xml:space="preserve"> Aronu, N.</w:t>
      </w:r>
      <w:r>
        <w:rPr>
          <w:noProof/>
          <w:sz w:val="18"/>
          <w:szCs w:val="18"/>
          <w:lang w:val="id-ID"/>
        </w:rPr>
        <w:t>;</w:t>
      </w:r>
      <w:r>
        <w:rPr>
          <w:noProof/>
          <w:sz w:val="18"/>
          <w:szCs w:val="18"/>
        </w:rPr>
        <w:t xml:space="preserve"> Chukw, N.</w:t>
      </w:r>
      <w:r>
        <w:rPr>
          <w:noProof/>
          <w:sz w:val="18"/>
          <w:szCs w:val="18"/>
          <w:lang w:val="id-ID"/>
        </w:rPr>
        <w:t>;</w:t>
      </w:r>
      <w:r>
        <w:rPr>
          <w:noProof/>
          <w:sz w:val="18"/>
          <w:szCs w:val="18"/>
        </w:rPr>
        <w:t xml:space="preserve"> Agbawodikeiz, U.P.</w:t>
      </w:r>
      <w:r>
        <w:rPr>
          <w:noProof/>
          <w:sz w:val="18"/>
          <w:szCs w:val="18"/>
          <w:lang w:val="id-ID"/>
        </w:rPr>
        <w:t>;</w:t>
      </w:r>
      <w:r>
        <w:rPr>
          <w:noProof/>
          <w:sz w:val="18"/>
          <w:szCs w:val="18"/>
        </w:rPr>
        <w:t xml:space="preserve"> Chalupowsk, M</w:t>
      </w:r>
      <w:r>
        <w:rPr>
          <w:noProof/>
          <w:sz w:val="18"/>
          <w:szCs w:val="18"/>
          <w:lang w:val="id-ID"/>
        </w:rPr>
        <w:t>.;</w:t>
      </w:r>
      <w:r>
        <w:rPr>
          <w:noProof/>
          <w:sz w:val="18"/>
          <w:szCs w:val="18"/>
        </w:rPr>
        <w:t xml:space="preserve"> Subramanian, S.V</w:t>
      </w:r>
      <w:r>
        <w:rPr>
          <w:noProof/>
          <w:sz w:val="18"/>
          <w:szCs w:val="18"/>
          <w:lang w:val="id-ID"/>
        </w:rPr>
        <w:t>.;</w:t>
      </w:r>
      <w:r w:rsidR="00091C52">
        <w:rPr>
          <w:noProof/>
          <w:sz w:val="18"/>
          <w:szCs w:val="18"/>
          <w:lang w:val="en-ID"/>
        </w:rPr>
        <w:t>,</w:t>
      </w:r>
      <w:r w:rsidRPr="00ED5525">
        <w:rPr>
          <w:noProof/>
          <w:sz w:val="18"/>
          <w:szCs w:val="18"/>
        </w:rPr>
        <w:t>“Factors associated with compliance to recommended micronutrients uptake for prevention of anemia during pregnancy in urban, peri-urban, and rural co</w:t>
      </w:r>
      <w:r w:rsidR="00591FC7">
        <w:rPr>
          <w:noProof/>
          <w:sz w:val="18"/>
          <w:szCs w:val="18"/>
        </w:rPr>
        <w:t>mmunities in Southeast Nigeria</w:t>
      </w:r>
      <w:r>
        <w:rPr>
          <w:noProof/>
          <w:sz w:val="18"/>
          <w:szCs w:val="18"/>
          <w:lang w:val="id-ID"/>
        </w:rPr>
        <w:t>,</w:t>
      </w:r>
      <w:r w:rsidR="00591FC7">
        <w:rPr>
          <w:noProof/>
          <w:sz w:val="18"/>
          <w:szCs w:val="18"/>
          <w:lang w:val="id-ID"/>
        </w:rPr>
        <w:t>”</w:t>
      </w:r>
      <w:r w:rsidRPr="00ED5525">
        <w:rPr>
          <w:i/>
          <w:noProof/>
          <w:sz w:val="18"/>
          <w:szCs w:val="18"/>
        </w:rPr>
        <w:t>Journal of Health, Population and Nutrition</w:t>
      </w:r>
      <w:r>
        <w:rPr>
          <w:noProof/>
          <w:sz w:val="18"/>
          <w:szCs w:val="18"/>
        </w:rPr>
        <w:t xml:space="preserve">, </w:t>
      </w:r>
      <w:r>
        <w:rPr>
          <w:noProof/>
          <w:sz w:val="18"/>
          <w:szCs w:val="18"/>
          <w:lang w:val="id-ID"/>
        </w:rPr>
        <w:t>v</w:t>
      </w:r>
      <w:r>
        <w:rPr>
          <w:noProof/>
          <w:sz w:val="18"/>
          <w:szCs w:val="18"/>
        </w:rPr>
        <w:t>ol. 35, pp. 35</w:t>
      </w:r>
      <w:r>
        <w:rPr>
          <w:noProof/>
          <w:sz w:val="18"/>
          <w:szCs w:val="18"/>
          <w:lang w:val="id-ID"/>
        </w:rPr>
        <w:t>,</w:t>
      </w:r>
      <w:r w:rsidRPr="00ED5525">
        <w:rPr>
          <w:noProof/>
          <w:sz w:val="18"/>
          <w:szCs w:val="18"/>
        </w:rPr>
        <w:t xml:space="preserve"> </w:t>
      </w:r>
      <w:r w:rsidR="00E35528">
        <w:rPr>
          <w:noProof/>
          <w:sz w:val="18"/>
          <w:szCs w:val="18"/>
          <w:lang w:val="id-ID"/>
        </w:rPr>
        <w:t>J</w:t>
      </w:r>
      <w:r>
        <w:rPr>
          <w:noProof/>
          <w:sz w:val="18"/>
          <w:szCs w:val="18"/>
          <w:lang w:val="id-ID"/>
        </w:rPr>
        <w:t xml:space="preserve">anuary </w:t>
      </w:r>
      <w:r w:rsidRPr="00ED5525">
        <w:rPr>
          <w:noProof/>
          <w:sz w:val="18"/>
          <w:szCs w:val="18"/>
        </w:rPr>
        <w:t>2016.</w:t>
      </w:r>
    </w:p>
    <w:p w:rsidR="001A597E" w:rsidRPr="00ED5525" w:rsidRDefault="001A597E" w:rsidP="001A597E">
      <w:pPr>
        <w:numPr>
          <w:ilvl w:val="0"/>
          <w:numId w:val="17"/>
        </w:numPr>
        <w:tabs>
          <w:tab w:val="left" w:pos="0"/>
        </w:tabs>
        <w:ind w:left="426" w:hanging="426"/>
        <w:jc w:val="both"/>
        <w:rPr>
          <w:noProof/>
          <w:sz w:val="18"/>
          <w:szCs w:val="18"/>
        </w:rPr>
      </w:pPr>
      <w:r>
        <w:rPr>
          <w:noProof/>
          <w:sz w:val="18"/>
          <w:szCs w:val="18"/>
        </w:rPr>
        <w:t>Kalipa, Z.</w:t>
      </w:r>
      <w:r>
        <w:rPr>
          <w:noProof/>
          <w:sz w:val="18"/>
          <w:szCs w:val="18"/>
          <w:lang w:val="id-ID"/>
        </w:rPr>
        <w:t>;</w:t>
      </w:r>
      <w:r>
        <w:rPr>
          <w:noProof/>
          <w:sz w:val="18"/>
          <w:szCs w:val="18"/>
        </w:rPr>
        <w:t xml:space="preserve"> Goon, D.T</w:t>
      </w:r>
      <w:r w:rsidR="00091C52">
        <w:rPr>
          <w:noProof/>
          <w:sz w:val="18"/>
          <w:szCs w:val="18"/>
        </w:rPr>
        <w:t>.</w:t>
      </w:r>
      <w:r>
        <w:rPr>
          <w:noProof/>
          <w:sz w:val="18"/>
          <w:szCs w:val="18"/>
          <w:lang w:val="id-ID"/>
        </w:rPr>
        <w:t>;</w:t>
      </w:r>
      <w:r>
        <w:rPr>
          <w:noProof/>
          <w:sz w:val="18"/>
          <w:szCs w:val="18"/>
        </w:rPr>
        <w:t xml:space="preserve"> Yako, E.M</w:t>
      </w:r>
      <w:r w:rsidR="00091C52">
        <w:rPr>
          <w:noProof/>
          <w:sz w:val="18"/>
          <w:szCs w:val="18"/>
        </w:rPr>
        <w:t>.</w:t>
      </w:r>
      <w:r>
        <w:rPr>
          <w:noProof/>
          <w:sz w:val="18"/>
          <w:szCs w:val="18"/>
          <w:lang w:val="id-ID"/>
        </w:rPr>
        <w:t>;</w:t>
      </w:r>
      <w:r>
        <w:rPr>
          <w:noProof/>
          <w:sz w:val="18"/>
          <w:szCs w:val="18"/>
        </w:rPr>
        <w:t xml:space="preserve"> Okeyo, A</w:t>
      </w:r>
      <w:r w:rsidR="00091C52">
        <w:rPr>
          <w:noProof/>
          <w:sz w:val="18"/>
          <w:szCs w:val="18"/>
        </w:rPr>
        <w:t>.</w:t>
      </w:r>
      <w:r>
        <w:rPr>
          <w:noProof/>
          <w:sz w:val="18"/>
          <w:szCs w:val="18"/>
          <w:lang w:val="id-ID"/>
        </w:rPr>
        <w:t>;</w:t>
      </w:r>
      <w:r w:rsidR="00091C52">
        <w:rPr>
          <w:noProof/>
          <w:sz w:val="18"/>
          <w:szCs w:val="18"/>
          <w:lang w:val="en-ID"/>
        </w:rPr>
        <w:t>,</w:t>
      </w:r>
      <w:r w:rsidRPr="00ED5525">
        <w:rPr>
          <w:noProof/>
          <w:sz w:val="18"/>
          <w:szCs w:val="18"/>
        </w:rPr>
        <w:t xml:space="preserve"> “Factors Influencing Adherence to Folic Acid and Ferrous Sulphate Nutritional Intake among Pregnant Teenagers in Buffalo City Municipality, South Africa</w:t>
      </w:r>
      <w:r w:rsidR="00591FC7">
        <w:rPr>
          <w:noProof/>
          <w:sz w:val="18"/>
          <w:szCs w:val="18"/>
          <w:lang w:val="id-ID"/>
        </w:rPr>
        <w:t>,”</w:t>
      </w:r>
      <w:r w:rsidRPr="00ED5525">
        <w:rPr>
          <w:i/>
          <w:noProof/>
          <w:sz w:val="18"/>
          <w:szCs w:val="18"/>
        </w:rPr>
        <w:t>Pakistan  Journal of Nutrition</w:t>
      </w:r>
      <w:r>
        <w:rPr>
          <w:noProof/>
          <w:sz w:val="18"/>
          <w:szCs w:val="18"/>
        </w:rPr>
        <w:t xml:space="preserve">, </w:t>
      </w:r>
      <w:r>
        <w:rPr>
          <w:noProof/>
          <w:sz w:val="18"/>
          <w:szCs w:val="18"/>
          <w:lang w:val="id-ID"/>
        </w:rPr>
        <w:t>v</w:t>
      </w:r>
      <w:r>
        <w:rPr>
          <w:noProof/>
          <w:sz w:val="18"/>
          <w:szCs w:val="18"/>
        </w:rPr>
        <w:t>ol. 16, pp. 531-537</w:t>
      </w:r>
      <w:r>
        <w:rPr>
          <w:noProof/>
          <w:sz w:val="18"/>
          <w:szCs w:val="18"/>
          <w:lang w:val="id-ID"/>
        </w:rPr>
        <w:t>,</w:t>
      </w:r>
      <w:r w:rsidRPr="00ED5525">
        <w:rPr>
          <w:noProof/>
          <w:sz w:val="18"/>
          <w:szCs w:val="18"/>
        </w:rPr>
        <w:t xml:space="preserve"> </w:t>
      </w:r>
      <w:r w:rsidR="00E35528">
        <w:rPr>
          <w:noProof/>
          <w:sz w:val="18"/>
          <w:szCs w:val="18"/>
          <w:lang w:val="id-ID"/>
        </w:rPr>
        <w:t>S</w:t>
      </w:r>
      <w:r>
        <w:rPr>
          <w:noProof/>
          <w:sz w:val="18"/>
          <w:szCs w:val="18"/>
          <w:lang w:val="id-ID"/>
        </w:rPr>
        <w:t xml:space="preserve">eptember </w:t>
      </w:r>
      <w:r w:rsidRPr="00ED5525">
        <w:rPr>
          <w:noProof/>
          <w:sz w:val="18"/>
          <w:szCs w:val="18"/>
        </w:rPr>
        <w:t>2017.</w:t>
      </w:r>
    </w:p>
    <w:p w:rsidR="001A597E" w:rsidRPr="004B7ECD" w:rsidRDefault="001A597E" w:rsidP="001A597E">
      <w:pPr>
        <w:numPr>
          <w:ilvl w:val="0"/>
          <w:numId w:val="17"/>
        </w:numPr>
        <w:tabs>
          <w:tab w:val="left" w:pos="0"/>
        </w:tabs>
        <w:ind w:left="426" w:hanging="426"/>
        <w:jc w:val="both"/>
        <w:rPr>
          <w:noProof/>
          <w:sz w:val="18"/>
          <w:szCs w:val="18"/>
        </w:rPr>
      </w:pPr>
      <w:r>
        <w:rPr>
          <w:noProof/>
          <w:sz w:val="18"/>
          <w:szCs w:val="18"/>
        </w:rPr>
        <w:t>Regan, C.L</w:t>
      </w:r>
      <w:r>
        <w:rPr>
          <w:noProof/>
          <w:sz w:val="18"/>
          <w:szCs w:val="18"/>
          <w:lang w:val="id-ID"/>
        </w:rPr>
        <w:t>.;</w:t>
      </w:r>
      <w:r w:rsidRPr="004B7ECD">
        <w:rPr>
          <w:noProof/>
          <w:sz w:val="18"/>
          <w:szCs w:val="18"/>
        </w:rPr>
        <w:t xml:space="preserve"> Baird, D</w:t>
      </w:r>
      <w:r>
        <w:rPr>
          <w:noProof/>
          <w:sz w:val="18"/>
          <w:szCs w:val="18"/>
        </w:rPr>
        <w:t>.D.</w:t>
      </w:r>
      <w:r>
        <w:rPr>
          <w:noProof/>
          <w:sz w:val="18"/>
          <w:szCs w:val="18"/>
          <w:lang w:val="id-ID"/>
        </w:rPr>
        <w:t>;</w:t>
      </w:r>
      <w:r>
        <w:rPr>
          <w:noProof/>
          <w:sz w:val="18"/>
          <w:szCs w:val="18"/>
        </w:rPr>
        <w:t xml:space="preserve"> Levine R.J.</w:t>
      </w:r>
      <w:r>
        <w:rPr>
          <w:noProof/>
          <w:sz w:val="18"/>
          <w:szCs w:val="18"/>
          <w:lang w:val="id-ID"/>
        </w:rPr>
        <w:t>;</w:t>
      </w:r>
      <w:r>
        <w:rPr>
          <w:noProof/>
          <w:sz w:val="18"/>
          <w:szCs w:val="18"/>
        </w:rPr>
        <w:t xml:space="preserve"> Ewell, M.G.</w:t>
      </w:r>
      <w:r>
        <w:rPr>
          <w:noProof/>
          <w:sz w:val="18"/>
          <w:szCs w:val="18"/>
          <w:lang w:val="id-ID"/>
        </w:rPr>
        <w:t>;</w:t>
      </w:r>
      <w:r w:rsidR="00591FC7">
        <w:rPr>
          <w:noProof/>
          <w:sz w:val="18"/>
          <w:szCs w:val="18"/>
          <w:lang w:val="id-ID"/>
        </w:rPr>
        <w:t>,</w:t>
      </w:r>
      <w:r w:rsidRPr="004B7ECD">
        <w:rPr>
          <w:noProof/>
          <w:sz w:val="18"/>
          <w:szCs w:val="18"/>
        </w:rPr>
        <w:t xml:space="preserve"> “No evidence for lipid peroxidation in severe preeclampsia</w:t>
      </w:r>
      <w:r w:rsidR="00591FC7">
        <w:rPr>
          <w:noProof/>
          <w:sz w:val="18"/>
          <w:szCs w:val="18"/>
          <w:lang w:val="id-ID"/>
        </w:rPr>
        <w:t>,”</w:t>
      </w:r>
      <w:r w:rsidRPr="004B7ECD">
        <w:rPr>
          <w:noProof/>
          <w:sz w:val="18"/>
          <w:szCs w:val="18"/>
        </w:rPr>
        <w:t xml:space="preserve"> </w:t>
      </w:r>
      <w:r w:rsidRPr="004B7ECD">
        <w:rPr>
          <w:i/>
          <w:noProof/>
          <w:sz w:val="18"/>
          <w:szCs w:val="18"/>
        </w:rPr>
        <w:t>American Journal of Obstetrics and Gynecology</w:t>
      </w:r>
      <w:r w:rsidR="00591FC7">
        <w:rPr>
          <w:noProof/>
          <w:sz w:val="18"/>
          <w:szCs w:val="18"/>
          <w:lang w:val="id-ID"/>
        </w:rPr>
        <w:t>,</w:t>
      </w:r>
      <w:r>
        <w:rPr>
          <w:noProof/>
          <w:sz w:val="18"/>
          <w:szCs w:val="18"/>
        </w:rPr>
        <w:t xml:space="preserve"> </w:t>
      </w:r>
      <w:r>
        <w:rPr>
          <w:noProof/>
          <w:sz w:val="18"/>
          <w:szCs w:val="18"/>
          <w:lang w:val="id-ID"/>
        </w:rPr>
        <w:t>v</w:t>
      </w:r>
      <w:r>
        <w:rPr>
          <w:noProof/>
          <w:sz w:val="18"/>
          <w:szCs w:val="18"/>
        </w:rPr>
        <w:t xml:space="preserve">ol. 185, no. 3, </w:t>
      </w:r>
      <w:r>
        <w:rPr>
          <w:noProof/>
          <w:sz w:val="18"/>
          <w:szCs w:val="18"/>
          <w:lang w:val="id-ID"/>
        </w:rPr>
        <w:t>p</w:t>
      </w:r>
      <w:r>
        <w:rPr>
          <w:noProof/>
          <w:sz w:val="18"/>
          <w:szCs w:val="18"/>
        </w:rPr>
        <w:t>p. 572-580</w:t>
      </w:r>
      <w:r w:rsidR="00E35528">
        <w:rPr>
          <w:noProof/>
          <w:sz w:val="18"/>
          <w:szCs w:val="18"/>
          <w:lang w:val="id-ID"/>
        </w:rPr>
        <w:t>, J</w:t>
      </w:r>
      <w:r>
        <w:rPr>
          <w:noProof/>
          <w:sz w:val="18"/>
          <w:szCs w:val="18"/>
          <w:lang w:val="id-ID"/>
        </w:rPr>
        <w:t xml:space="preserve">une </w:t>
      </w:r>
      <w:r w:rsidRPr="004B7ECD">
        <w:rPr>
          <w:noProof/>
          <w:sz w:val="18"/>
          <w:szCs w:val="18"/>
        </w:rPr>
        <w:t>2017</w:t>
      </w:r>
      <w:r>
        <w:rPr>
          <w:noProof/>
          <w:sz w:val="18"/>
          <w:szCs w:val="18"/>
          <w:lang w:val="id-ID"/>
        </w:rPr>
        <w:t>.</w:t>
      </w:r>
    </w:p>
    <w:p w:rsidR="001A597E" w:rsidRPr="004B7ECD" w:rsidRDefault="001A597E" w:rsidP="001A597E">
      <w:pPr>
        <w:numPr>
          <w:ilvl w:val="0"/>
          <w:numId w:val="17"/>
        </w:numPr>
        <w:tabs>
          <w:tab w:val="left" w:pos="0"/>
        </w:tabs>
        <w:ind w:left="426" w:hanging="426"/>
        <w:jc w:val="both"/>
        <w:rPr>
          <w:noProof/>
          <w:sz w:val="18"/>
          <w:szCs w:val="18"/>
        </w:rPr>
      </w:pPr>
      <w:r>
        <w:rPr>
          <w:noProof/>
          <w:sz w:val="18"/>
          <w:szCs w:val="18"/>
        </w:rPr>
        <w:t>Haytowitz, D.B.</w:t>
      </w:r>
      <w:r>
        <w:rPr>
          <w:noProof/>
          <w:sz w:val="18"/>
          <w:szCs w:val="18"/>
          <w:lang w:val="id-ID"/>
        </w:rPr>
        <w:t>;</w:t>
      </w:r>
      <w:r>
        <w:rPr>
          <w:noProof/>
          <w:sz w:val="18"/>
          <w:szCs w:val="18"/>
        </w:rPr>
        <w:t>Bhagwat, S</w:t>
      </w:r>
      <w:r>
        <w:rPr>
          <w:noProof/>
          <w:sz w:val="18"/>
          <w:szCs w:val="18"/>
          <w:lang w:val="id-ID"/>
        </w:rPr>
        <w:t>.;</w:t>
      </w:r>
      <w:r w:rsidR="00091C52">
        <w:rPr>
          <w:noProof/>
          <w:sz w:val="18"/>
          <w:szCs w:val="18"/>
          <w:lang w:val="en-ID"/>
        </w:rPr>
        <w:t>,</w:t>
      </w:r>
      <w:r w:rsidRPr="004B7ECD">
        <w:rPr>
          <w:noProof/>
          <w:sz w:val="18"/>
          <w:szCs w:val="18"/>
        </w:rPr>
        <w:t xml:space="preserve"> </w:t>
      </w:r>
      <w:r w:rsidRPr="004B7ECD">
        <w:rPr>
          <w:i/>
          <w:noProof/>
          <w:sz w:val="18"/>
          <w:szCs w:val="18"/>
        </w:rPr>
        <w:t>USDA Database for the Oxygen Radical Absorbance Capacity (ORAC) of Selected Foods, Release 2</w:t>
      </w:r>
      <w:r w:rsidRPr="004B7ECD">
        <w:rPr>
          <w:noProof/>
          <w:sz w:val="18"/>
          <w:szCs w:val="18"/>
        </w:rPr>
        <w:t>. MaryLAND, USDA</w:t>
      </w:r>
      <w:r>
        <w:rPr>
          <w:noProof/>
          <w:sz w:val="18"/>
          <w:szCs w:val="18"/>
          <w:lang w:val="id-ID"/>
        </w:rPr>
        <w:t xml:space="preserve">, </w:t>
      </w:r>
      <w:r w:rsidRPr="004B7ECD">
        <w:rPr>
          <w:noProof/>
          <w:sz w:val="18"/>
          <w:szCs w:val="18"/>
        </w:rPr>
        <w:t>2010.</w:t>
      </w:r>
    </w:p>
    <w:p w:rsidR="001A597E" w:rsidRPr="00EE2EAF" w:rsidRDefault="001A597E" w:rsidP="001A597E">
      <w:pPr>
        <w:numPr>
          <w:ilvl w:val="0"/>
          <w:numId w:val="17"/>
        </w:numPr>
        <w:tabs>
          <w:tab w:val="left" w:pos="0"/>
        </w:tabs>
        <w:ind w:left="426" w:hanging="426"/>
        <w:jc w:val="both"/>
        <w:rPr>
          <w:noProof/>
          <w:sz w:val="18"/>
          <w:szCs w:val="18"/>
        </w:rPr>
      </w:pPr>
      <w:r>
        <w:rPr>
          <w:noProof/>
          <w:sz w:val="18"/>
          <w:szCs w:val="18"/>
        </w:rPr>
        <w:t>Hussain, M.</w:t>
      </w:r>
      <w:r>
        <w:rPr>
          <w:noProof/>
          <w:sz w:val="18"/>
          <w:szCs w:val="18"/>
          <w:lang w:val="id-ID"/>
        </w:rPr>
        <w:t>;</w:t>
      </w:r>
      <w:r w:rsidRPr="004B7ECD">
        <w:rPr>
          <w:noProof/>
          <w:sz w:val="18"/>
          <w:szCs w:val="18"/>
        </w:rPr>
        <w:t xml:space="preserve"> and Hedar, M.</w:t>
      </w:r>
      <w:r>
        <w:rPr>
          <w:noProof/>
          <w:sz w:val="18"/>
          <w:szCs w:val="18"/>
          <w:lang w:val="id-ID"/>
        </w:rPr>
        <w:t>;</w:t>
      </w:r>
      <w:r w:rsidR="00091C52">
        <w:rPr>
          <w:noProof/>
          <w:sz w:val="18"/>
          <w:szCs w:val="18"/>
          <w:lang w:val="en-ID"/>
        </w:rPr>
        <w:t>,</w:t>
      </w:r>
      <w:r w:rsidRPr="004B7ECD">
        <w:rPr>
          <w:noProof/>
          <w:sz w:val="18"/>
          <w:szCs w:val="18"/>
        </w:rPr>
        <w:t xml:space="preserve"> “Role of Lipid Peroxidation and Total Antioxidant Activity in Women with Preeclampsia”.</w:t>
      </w:r>
      <w:r w:rsidRPr="00EE2EAF">
        <w:rPr>
          <w:i/>
          <w:noProof/>
          <w:sz w:val="18"/>
          <w:szCs w:val="18"/>
        </w:rPr>
        <w:t xml:space="preserve"> Journal andrology and gynecology</w:t>
      </w:r>
      <w:r>
        <w:rPr>
          <w:noProof/>
          <w:sz w:val="18"/>
          <w:szCs w:val="18"/>
        </w:rPr>
        <w:t xml:space="preserve">, </w:t>
      </w:r>
      <w:r>
        <w:rPr>
          <w:noProof/>
          <w:sz w:val="18"/>
          <w:szCs w:val="18"/>
          <w:lang w:val="id-ID"/>
        </w:rPr>
        <w:t>v</w:t>
      </w:r>
      <w:r>
        <w:rPr>
          <w:noProof/>
          <w:sz w:val="18"/>
          <w:szCs w:val="18"/>
        </w:rPr>
        <w:t xml:space="preserve">ol. 3, </w:t>
      </w:r>
      <w:r>
        <w:rPr>
          <w:noProof/>
          <w:sz w:val="18"/>
          <w:szCs w:val="18"/>
          <w:lang w:val="id-ID"/>
        </w:rPr>
        <w:t>n</w:t>
      </w:r>
      <w:r>
        <w:rPr>
          <w:noProof/>
          <w:sz w:val="18"/>
          <w:szCs w:val="18"/>
        </w:rPr>
        <w:t>o. 2</w:t>
      </w:r>
      <w:r>
        <w:rPr>
          <w:noProof/>
          <w:sz w:val="18"/>
          <w:szCs w:val="18"/>
          <w:lang w:val="id-ID"/>
        </w:rPr>
        <w:t xml:space="preserve">, June </w:t>
      </w:r>
      <w:r w:rsidRPr="004B7ECD">
        <w:rPr>
          <w:noProof/>
          <w:sz w:val="18"/>
          <w:szCs w:val="18"/>
        </w:rPr>
        <w:t>2015.</w:t>
      </w:r>
    </w:p>
    <w:p w:rsidR="001A597E" w:rsidRPr="00EE2EAF" w:rsidRDefault="001A597E" w:rsidP="001A597E">
      <w:pPr>
        <w:numPr>
          <w:ilvl w:val="0"/>
          <w:numId w:val="17"/>
        </w:numPr>
        <w:tabs>
          <w:tab w:val="left" w:pos="0"/>
        </w:tabs>
        <w:ind w:left="426" w:hanging="426"/>
        <w:jc w:val="both"/>
        <w:rPr>
          <w:noProof/>
          <w:sz w:val="18"/>
          <w:szCs w:val="18"/>
        </w:rPr>
      </w:pPr>
      <w:r>
        <w:rPr>
          <w:noProof/>
          <w:sz w:val="18"/>
          <w:szCs w:val="18"/>
        </w:rPr>
        <w:t>Aritonang, E.</w:t>
      </w:r>
      <w:r>
        <w:rPr>
          <w:noProof/>
          <w:sz w:val="18"/>
          <w:szCs w:val="18"/>
          <w:lang w:val="id-ID"/>
        </w:rPr>
        <w:t>;</w:t>
      </w:r>
      <w:r w:rsidR="00091C52">
        <w:rPr>
          <w:noProof/>
          <w:sz w:val="18"/>
          <w:szCs w:val="18"/>
          <w:lang w:val="en-ID"/>
        </w:rPr>
        <w:t>,</w:t>
      </w:r>
      <w:r>
        <w:rPr>
          <w:noProof/>
          <w:sz w:val="18"/>
          <w:szCs w:val="18"/>
          <w:lang w:val="id-ID"/>
        </w:rPr>
        <w:t xml:space="preserve"> </w:t>
      </w:r>
      <w:r w:rsidRPr="00EE2EAF">
        <w:rPr>
          <w:i/>
          <w:noProof/>
          <w:sz w:val="18"/>
          <w:szCs w:val="18"/>
        </w:rPr>
        <w:t>Kebutuhan Gizi Ibu Hamil</w:t>
      </w:r>
      <w:r w:rsidRPr="00EE2EAF">
        <w:rPr>
          <w:noProof/>
          <w:sz w:val="18"/>
          <w:szCs w:val="18"/>
        </w:rPr>
        <w:t>. Bogor, IPB</w:t>
      </w:r>
      <w:r>
        <w:rPr>
          <w:noProof/>
          <w:sz w:val="18"/>
          <w:szCs w:val="18"/>
        </w:rPr>
        <w:t xml:space="preserve"> press kampus IPB Taman Kencana</w:t>
      </w:r>
      <w:r w:rsidR="006126C3">
        <w:rPr>
          <w:noProof/>
          <w:sz w:val="18"/>
          <w:szCs w:val="18"/>
          <w:lang w:val="id-ID"/>
        </w:rPr>
        <w:t xml:space="preserve">, </w:t>
      </w:r>
      <w:r w:rsidR="006126C3">
        <w:rPr>
          <w:noProof/>
          <w:sz w:val="18"/>
          <w:szCs w:val="18"/>
          <w:lang w:val="en-ID"/>
        </w:rPr>
        <w:t>J</w:t>
      </w:r>
      <w:r w:rsidR="00E35528">
        <w:rPr>
          <w:noProof/>
          <w:sz w:val="18"/>
          <w:szCs w:val="18"/>
          <w:lang w:val="id-ID"/>
        </w:rPr>
        <w:t>anuary</w:t>
      </w:r>
      <w:r>
        <w:rPr>
          <w:noProof/>
          <w:sz w:val="18"/>
          <w:szCs w:val="18"/>
          <w:lang w:val="id-ID"/>
        </w:rPr>
        <w:t xml:space="preserve"> </w:t>
      </w:r>
      <w:r w:rsidRPr="00EE2EAF">
        <w:rPr>
          <w:noProof/>
          <w:sz w:val="18"/>
          <w:szCs w:val="18"/>
        </w:rPr>
        <w:t>2010.</w:t>
      </w:r>
    </w:p>
    <w:p w:rsidR="001A597E" w:rsidRDefault="001A597E" w:rsidP="001A597E">
      <w:pPr>
        <w:numPr>
          <w:ilvl w:val="0"/>
          <w:numId w:val="17"/>
        </w:numPr>
        <w:tabs>
          <w:tab w:val="left" w:pos="0"/>
        </w:tabs>
        <w:ind w:left="426" w:hanging="426"/>
        <w:jc w:val="both"/>
        <w:rPr>
          <w:noProof/>
          <w:sz w:val="18"/>
          <w:szCs w:val="18"/>
        </w:rPr>
      </w:pPr>
      <w:r>
        <w:rPr>
          <w:noProof/>
          <w:sz w:val="18"/>
          <w:szCs w:val="18"/>
        </w:rPr>
        <w:t>Darkwa, E.O.</w:t>
      </w:r>
      <w:r>
        <w:rPr>
          <w:noProof/>
          <w:sz w:val="18"/>
          <w:szCs w:val="18"/>
          <w:lang w:val="id-ID"/>
        </w:rPr>
        <w:t xml:space="preserve">; </w:t>
      </w:r>
      <w:r>
        <w:rPr>
          <w:noProof/>
          <w:sz w:val="18"/>
          <w:szCs w:val="18"/>
        </w:rPr>
        <w:t>Djagbletey, R.</w:t>
      </w:r>
      <w:r>
        <w:rPr>
          <w:noProof/>
          <w:sz w:val="18"/>
          <w:szCs w:val="18"/>
          <w:lang w:val="id-ID"/>
        </w:rPr>
        <w:t>;</w:t>
      </w:r>
      <w:r>
        <w:rPr>
          <w:noProof/>
          <w:sz w:val="18"/>
          <w:szCs w:val="18"/>
        </w:rPr>
        <w:t xml:space="preserve"> Boasiako, C.A.</w:t>
      </w:r>
      <w:r>
        <w:rPr>
          <w:noProof/>
          <w:sz w:val="18"/>
          <w:szCs w:val="18"/>
          <w:lang w:val="id-ID"/>
        </w:rPr>
        <w:t>;</w:t>
      </w:r>
      <w:r>
        <w:rPr>
          <w:noProof/>
          <w:sz w:val="18"/>
          <w:szCs w:val="18"/>
        </w:rPr>
        <w:t xml:space="preserve"> Aryee, G.</w:t>
      </w:r>
      <w:r>
        <w:rPr>
          <w:noProof/>
          <w:sz w:val="18"/>
          <w:szCs w:val="18"/>
          <w:lang w:val="id-ID"/>
        </w:rPr>
        <w:t>;</w:t>
      </w:r>
      <w:r>
        <w:rPr>
          <w:noProof/>
          <w:sz w:val="18"/>
          <w:szCs w:val="18"/>
        </w:rPr>
        <w:t xml:space="preserve"> Sottie D.</w:t>
      </w:r>
      <w:r>
        <w:rPr>
          <w:noProof/>
          <w:sz w:val="18"/>
          <w:szCs w:val="18"/>
          <w:lang w:val="id-ID"/>
        </w:rPr>
        <w:t>;</w:t>
      </w:r>
      <w:r w:rsidRPr="00EE2EAF">
        <w:rPr>
          <w:noProof/>
          <w:sz w:val="18"/>
          <w:szCs w:val="18"/>
        </w:rPr>
        <w:t xml:space="preserve">  Akowuah, A.</w:t>
      </w:r>
      <w:r>
        <w:rPr>
          <w:noProof/>
          <w:sz w:val="18"/>
          <w:szCs w:val="18"/>
          <w:lang w:val="id-ID"/>
        </w:rPr>
        <w:t>;</w:t>
      </w:r>
      <w:r w:rsidR="00091C52">
        <w:rPr>
          <w:noProof/>
          <w:sz w:val="18"/>
          <w:szCs w:val="18"/>
          <w:lang w:val="en-ID"/>
        </w:rPr>
        <w:t>,</w:t>
      </w:r>
      <w:r w:rsidRPr="00EE2EAF">
        <w:rPr>
          <w:noProof/>
          <w:sz w:val="18"/>
          <w:szCs w:val="18"/>
        </w:rPr>
        <w:t xml:space="preserve"> </w:t>
      </w:r>
      <w:r w:rsidR="00091C52">
        <w:rPr>
          <w:noProof/>
          <w:sz w:val="18"/>
          <w:szCs w:val="18"/>
        </w:rPr>
        <w:t>“</w:t>
      </w:r>
      <w:r w:rsidRPr="00EE2EAF">
        <w:rPr>
          <w:noProof/>
          <w:sz w:val="18"/>
          <w:szCs w:val="18"/>
        </w:rPr>
        <w:t>Serum sodium and potassium levels in preeclampsia: A case-control study in a large tertiary hospital in Ghana</w:t>
      </w:r>
      <w:r w:rsidR="00091C52">
        <w:rPr>
          <w:noProof/>
          <w:sz w:val="18"/>
          <w:szCs w:val="18"/>
        </w:rPr>
        <w:t>’</w:t>
      </w:r>
      <w:r w:rsidRPr="00EE2EAF">
        <w:rPr>
          <w:noProof/>
          <w:sz w:val="18"/>
          <w:szCs w:val="18"/>
        </w:rPr>
        <w:t xml:space="preserve">. </w:t>
      </w:r>
      <w:r w:rsidRPr="00EE2EAF">
        <w:rPr>
          <w:i/>
          <w:noProof/>
          <w:sz w:val="18"/>
          <w:szCs w:val="18"/>
        </w:rPr>
        <w:t>Journal of Cogent Medicine</w:t>
      </w:r>
      <w:r>
        <w:rPr>
          <w:noProof/>
          <w:sz w:val="18"/>
          <w:szCs w:val="18"/>
        </w:rPr>
        <w:t xml:space="preserve">, </w:t>
      </w:r>
      <w:r>
        <w:rPr>
          <w:noProof/>
          <w:sz w:val="18"/>
          <w:szCs w:val="18"/>
          <w:lang w:val="id-ID"/>
        </w:rPr>
        <w:t>v</w:t>
      </w:r>
      <w:r>
        <w:rPr>
          <w:noProof/>
          <w:sz w:val="18"/>
          <w:szCs w:val="18"/>
        </w:rPr>
        <w:t>ol. 4</w:t>
      </w:r>
      <w:r>
        <w:rPr>
          <w:noProof/>
          <w:sz w:val="18"/>
          <w:szCs w:val="18"/>
          <w:lang w:val="id-ID"/>
        </w:rPr>
        <w:t>,</w:t>
      </w:r>
      <w:r w:rsidR="00591FC7">
        <w:rPr>
          <w:noProof/>
          <w:sz w:val="18"/>
          <w:szCs w:val="18"/>
          <w:lang w:val="id-ID"/>
        </w:rPr>
        <w:t xml:space="preserve"> no.5,</w:t>
      </w:r>
      <w:r w:rsidRPr="00EE2EAF">
        <w:rPr>
          <w:noProof/>
          <w:sz w:val="18"/>
          <w:szCs w:val="18"/>
        </w:rPr>
        <w:t xml:space="preserve"> </w:t>
      </w:r>
      <w:r>
        <w:rPr>
          <w:noProof/>
          <w:sz w:val="18"/>
          <w:szCs w:val="18"/>
          <w:lang w:val="id-ID"/>
        </w:rPr>
        <w:t>A</w:t>
      </w:r>
      <w:r w:rsidR="00E35528">
        <w:rPr>
          <w:noProof/>
          <w:sz w:val="18"/>
          <w:szCs w:val="18"/>
          <w:lang w:val="id-ID"/>
        </w:rPr>
        <w:t>ugust</w:t>
      </w:r>
      <w:r>
        <w:rPr>
          <w:noProof/>
          <w:sz w:val="18"/>
          <w:szCs w:val="18"/>
          <w:lang w:val="id-ID"/>
        </w:rPr>
        <w:t xml:space="preserve"> </w:t>
      </w:r>
      <w:r w:rsidRPr="00EE2EAF">
        <w:rPr>
          <w:noProof/>
          <w:sz w:val="18"/>
          <w:szCs w:val="18"/>
        </w:rPr>
        <w:t>2017.</w:t>
      </w:r>
    </w:p>
    <w:p w:rsidR="001A597E" w:rsidRPr="001B0927" w:rsidRDefault="001A597E" w:rsidP="001A597E">
      <w:pPr>
        <w:tabs>
          <w:tab w:val="left" w:pos="0"/>
        </w:tabs>
        <w:ind w:left="426"/>
        <w:jc w:val="both"/>
        <w:rPr>
          <w:noProof/>
          <w:sz w:val="18"/>
          <w:szCs w:val="18"/>
        </w:rPr>
      </w:pPr>
    </w:p>
    <w:p w:rsidR="001A597E" w:rsidRDefault="001A597E" w:rsidP="001A597E">
      <w:pPr>
        <w:jc w:val="both"/>
        <w:rPr>
          <w:color w:val="000000"/>
          <w:sz w:val="18"/>
          <w:szCs w:val="18"/>
        </w:rPr>
      </w:pPr>
    </w:p>
    <w:p w:rsidR="001A597E" w:rsidRDefault="001A597E" w:rsidP="001A597E">
      <w:pPr>
        <w:rPr>
          <w:b/>
          <w:bCs/>
        </w:rPr>
      </w:pPr>
      <w:r>
        <w:rPr>
          <w:rStyle w:val="apple-style-span"/>
          <w:b/>
          <w:color w:val="000000"/>
          <w:lang w:val="pt-BR"/>
        </w:rPr>
        <w:t>BIIOGRAPHY OF AUTHORS</w:t>
      </w:r>
    </w:p>
    <w:p w:rsidR="001A597E" w:rsidRDefault="001A597E" w:rsidP="001A597E">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1A597E" w:rsidTr="00B95409">
        <w:tc>
          <w:tcPr>
            <w:tcW w:w="1813" w:type="dxa"/>
          </w:tcPr>
          <w:p w:rsidR="001A597E" w:rsidRPr="00231A19" w:rsidRDefault="001A597E" w:rsidP="00B95409">
            <w:pPr>
              <w:rPr>
                <w:color w:val="000000"/>
                <w:lang w:val="pt-BR"/>
              </w:rPr>
            </w:pPr>
          </w:p>
          <w:p w:rsidR="001A597E" w:rsidRPr="00231A19" w:rsidRDefault="001A597E" w:rsidP="00B95409">
            <w:pPr>
              <w:jc w:val="center"/>
              <w:rPr>
                <w:color w:val="000000"/>
                <w:lang w:val="pt-BR"/>
              </w:rPr>
            </w:pPr>
            <w:r w:rsidRPr="00231A19">
              <w:rPr>
                <w:color w:val="000000"/>
                <w:lang w:val="pt-BR"/>
              </w:rPr>
              <w:t xml:space="preserve">First author’s </w:t>
            </w:r>
          </w:p>
          <w:p w:rsidR="001A597E" w:rsidRPr="00231A19" w:rsidRDefault="001A597E" w:rsidP="00B95409">
            <w:pPr>
              <w:jc w:val="center"/>
              <w:rPr>
                <w:color w:val="000000"/>
                <w:lang w:val="pt-BR"/>
              </w:rPr>
            </w:pPr>
            <w:r w:rsidRPr="00231A19">
              <w:rPr>
                <w:color w:val="000000"/>
                <w:lang w:val="pt-BR"/>
              </w:rPr>
              <w:t>Photo (3x4cm)</w:t>
            </w:r>
          </w:p>
          <w:p w:rsidR="001A597E" w:rsidRPr="00231A19" w:rsidRDefault="001A597E" w:rsidP="00B95409">
            <w:pPr>
              <w:jc w:val="center"/>
              <w:rPr>
                <w:color w:val="000000"/>
                <w:lang w:val="pt-BR"/>
              </w:rPr>
            </w:pPr>
          </w:p>
        </w:tc>
        <w:tc>
          <w:tcPr>
            <w:tcW w:w="7226" w:type="dxa"/>
          </w:tcPr>
          <w:p w:rsidR="001A597E" w:rsidRPr="00231A19" w:rsidRDefault="001A597E" w:rsidP="00B95409">
            <w:pPr>
              <w:jc w:val="both"/>
              <w:rPr>
                <w:color w:val="000000"/>
                <w:sz w:val="18"/>
                <w:szCs w:val="18"/>
              </w:rPr>
            </w:pPr>
            <w:r w:rsidRPr="00231A19">
              <w:rPr>
                <w:color w:val="000000"/>
                <w:sz w:val="18"/>
                <w:szCs w:val="18"/>
              </w:rPr>
              <w:t>Xxxx (9 pt)</w:t>
            </w:r>
          </w:p>
          <w:p w:rsidR="001A597E" w:rsidRPr="00231A19" w:rsidRDefault="001A597E" w:rsidP="00B95409">
            <w:pPr>
              <w:rPr>
                <w:color w:val="000000"/>
                <w:lang w:val="pt-BR"/>
              </w:rPr>
            </w:pPr>
          </w:p>
          <w:p w:rsidR="001A597E" w:rsidRPr="00231A19" w:rsidRDefault="001A597E" w:rsidP="00B95409">
            <w:pPr>
              <w:rPr>
                <w:color w:val="000000"/>
                <w:lang w:val="pt-BR"/>
              </w:rPr>
            </w:pPr>
          </w:p>
          <w:p w:rsidR="001A597E" w:rsidRPr="00231A19" w:rsidRDefault="001A597E" w:rsidP="00B95409">
            <w:pPr>
              <w:rPr>
                <w:color w:val="000000"/>
                <w:lang w:val="pt-BR"/>
              </w:rPr>
            </w:pPr>
          </w:p>
          <w:p w:rsidR="001A597E" w:rsidRDefault="001A597E" w:rsidP="00B95409">
            <w:pPr>
              <w:rPr>
                <w:color w:val="000000"/>
                <w:lang w:val="pt-BR"/>
              </w:rPr>
            </w:pPr>
          </w:p>
          <w:p w:rsidR="001A597E" w:rsidRDefault="001A597E" w:rsidP="00B95409">
            <w:pPr>
              <w:rPr>
                <w:color w:val="000000"/>
                <w:lang w:val="pt-BR"/>
              </w:rPr>
            </w:pPr>
          </w:p>
          <w:p w:rsidR="001A597E" w:rsidRPr="00231A19" w:rsidRDefault="001A597E" w:rsidP="00B95409">
            <w:pPr>
              <w:rPr>
                <w:color w:val="000000"/>
                <w:lang w:val="pt-BR"/>
              </w:rPr>
            </w:pPr>
          </w:p>
        </w:tc>
      </w:tr>
      <w:tr w:rsidR="001A597E" w:rsidTr="00B95409">
        <w:tc>
          <w:tcPr>
            <w:tcW w:w="1813" w:type="dxa"/>
          </w:tcPr>
          <w:p w:rsidR="001A597E" w:rsidRPr="00231A19" w:rsidRDefault="001A597E" w:rsidP="00B95409">
            <w:pPr>
              <w:rPr>
                <w:color w:val="000000"/>
                <w:lang w:val="pt-BR"/>
              </w:rPr>
            </w:pPr>
          </w:p>
        </w:tc>
        <w:tc>
          <w:tcPr>
            <w:tcW w:w="7226" w:type="dxa"/>
          </w:tcPr>
          <w:p w:rsidR="001A597E" w:rsidRPr="00231A19" w:rsidRDefault="001A597E" w:rsidP="00B95409">
            <w:pPr>
              <w:jc w:val="both"/>
              <w:rPr>
                <w:color w:val="000000"/>
                <w:sz w:val="18"/>
                <w:szCs w:val="18"/>
              </w:rPr>
            </w:pPr>
          </w:p>
        </w:tc>
      </w:tr>
      <w:tr w:rsidR="001A597E" w:rsidTr="00B95409">
        <w:tc>
          <w:tcPr>
            <w:tcW w:w="1813" w:type="dxa"/>
          </w:tcPr>
          <w:p w:rsidR="001A597E" w:rsidRPr="00231A19" w:rsidRDefault="001A597E" w:rsidP="00B95409">
            <w:pPr>
              <w:rPr>
                <w:color w:val="000000"/>
                <w:lang w:val="pt-BR"/>
              </w:rPr>
            </w:pPr>
          </w:p>
          <w:p w:rsidR="001A597E" w:rsidRPr="00231A19" w:rsidRDefault="001A597E" w:rsidP="00B95409">
            <w:pPr>
              <w:jc w:val="center"/>
              <w:rPr>
                <w:color w:val="000000"/>
                <w:lang w:val="pt-BR"/>
              </w:rPr>
            </w:pPr>
            <w:r w:rsidRPr="00231A19">
              <w:rPr>
                <w:color w:val="000000"/>
                <w:lang w:val="pt-BR"/>
              </w:rPr>
              <w:t>Second author’s photo(3x4cm)</w:t>
            </w:r>
          </w:p>
          <w:p w:rsidR="001A597E" w:rsidRPr="00231A19" w:rsidRDefault="001A597E" w:rsidP="00B95409">
            <w:pPr>
              <w:jc w:val="center"/>
              <w:rPr>
                <w:color w:val="000000"/>
                <w:lang w:val="pt-BR"/>
              </w:rPr>
            </w:pPr>
          </w:p>
          <w:p w:rsidR="001A597E" w:rsidRPr="00231A19" w:rsidRDefault="001A597E" w:rsidP="00B95409">
            <w:pPr>
              <w:jc w:val="center"/>
              <w:rPr>
                <w:color w:val="000000"/>
                <w:lang w:val="pt-BR"/>
              </w:rPr>
            </w:pPr>
          </w:p>
        </w:tc>
        <w:tc>
          <w:tcPr>
            <w:tcW w:w="7226" w:type="dxa"/>
          </w:tcPr>
          <w:p w:rsidR="001A597E" w:rsidRPr="00231A19" w:rsidRDefault="001A597E" w:rsidP="00B95409">
            <w:pPr>
              <w:jc w:val="both"/>
              <w:rPr>
                <w:color w:val="000000"/>
                <w:sz w:val="18"/>
                <w:szCs w:val="18"/>
              </w:rPr>
            </w:pPr>
            <w:r w:rsidRPr="00231A19">
              <w:rPr>
                <w:color w:val="000000"/>
                <w:sz w:val="18"/>
                <w:szCs w:val="18"/>
              </w:rPr>
              <w:t>Xxxx (9 pt)</w:t>
            </w:r>
          </w:p>
          <w:p w:rsidR="001A597E" w:rsidRPr="00231A19" w:rsidRDefault="001A597E" w:rsidP="00B95409">
            <w:pPr>
              <w:rPr>
                <w:color w:val="000000"/>
                <w:lang w:val="pt-BR"/>
              </w:rPr>
            </w:pPr>
          </w:p>
          <w:p w:rsidR="001A597E" w:rsidRPr="00231A19" w:rsidRDefault="001A597E" w:rsidP="00B95409">
            <w:pPr>
              <w:rPr>
                <w:color w:val="000000"/>
                <w:lang w:val="pt-BR"/>
              </w:rPr>
            </w:pPr>
          </w:p>
          <w:p w:rsidR="001A597E" w:rsidRDefault="001A597E" w:rsidP="00B95409">
            <w:pPr>
              <w:rPr>
                <w:color w:val="000000"/>
                <w:lang w:val="pt-BR"/>
              </w:rPr>
            </w:pPr>
          </w:p>
          <w:p w:rsidR="001A597E" w:rsidRPr="00231A19" w:rsidRDefault="001A597E" w:rsidP="00B95409">
            <w:pPr>
              <w:rPr>
                <w:color w:val="000000"/>
                <w:lang w:val="pt-BR"/>
              </w:rPr>
            </w:pPr>
          </w:p>
          <w:p w:rsidR="001A597E" w:rsidRDefault="001A597E" w:rsidP="00B95409">
            <w:pPr>
              <w:rPr>
                <w:color w:val="000000"/>
                <w:lang w:val="pt-BR"/>
              </w:rPr>
            </w:pPr>
          </w:p>
          <w:p w:rsidR="001A597E" w:rsidRPr="00231A19" w:rsidRDefault="001A597E" w:rsidP="00B95409">
            <w:pPr>
              <w:rPr>
                <w:color w:val="000000"/>
                <w:lang w:val="pt-BR"/>
              </w:rPr>
            </w:pPr>
          </w:p>
        </w:tc>
      </w:tr>
      <w:tr w:rsidR="001A597E" w:rsidTr="00B95409">
        <w:tc>
          <w:tcPr>
            <w:tcW w:w="1813" w:type="dxa"/>
          </w:tcPr>
          <w:p w:rsidR="001A597E" w:rsidRPr="00231A19" w:rsidRDefault="001A597E" w:rsidP="00B95409">
            <w:pPr>
              <w:rPr>
                <w:color w:val="000000"/>
                <w:lang w:val="pt-BR"/>
              </w:rPr>
            </w:pPr>
          </w:p>
        </w:tc>
        <w:tc>
          <w:tcPr>
            <w:tcW w:w="7226" w:type="dxa"/>
          </w:tcPr>
          <w:p w:rsidR="001A597E" w:rsidRPr="00231A19" w:rsidRDefault="001A597E" w:rsidP="00B95409">
            <w:pPr>
              <w:jc w:val="both"/>
              <w:rPr>
                <w:color w:val="000000"/>
                <w:sz w:val="18"/>
                <w:szCs w:val="18"/>
              </w:rPr>
            </w:pPr>
          </w:p>
        </w:tc>
      </w:tr>
      <w:tr w:rsidR="001A597E" w:rsidTr="00B95409">
        <w:tc>
          <w:tcPr>
            <w:tcW w:w="1813" w:type="dxa"/>
          </w:tcPr>
          <w:p w:rsidR="001A597E" w:rsidRPr="00231A19" w:rsidRDefault="001A597E" w:rsidP="00B95409">
            <w:pPr>
              <w:rPr>
                <w:color w:val="000000"/>
                <w:lang w:val="pt-BR"/>
              </w:rPr>
            </w:pPr>
          </w:p>
          <w:p w:rsidR="001A597E" w:rsidRPr="00231A19" w:rsidRDefault="001A597E" w:rsidP="00B95409">
            <w:pPr>
              <w:jc w:val="center"/>
              <w:rPr>
                <w:color w:val="000000"/>
                <w:lang w:val="pt-BR"/>
              </w:rPr>
            </w:pPr>
            <w:r w:rsidRPr="00231A19">
              <w:rPr>
                <w:color w:val="000000"/>
                <w:lang w:val="pt-BR"/>
              </w:rPr>
              <w:t>Thirth author’s photo(3x4cm)</w:t>
            </w:r>
          </w:p>
          <w:p w:rsidR="001A597E" w:rsidRPr="00231A19" w:rsidRDefault="001A597E" w:rsidP="00B95409">
            <w:pPr>
              <w:jc w:val="center"/>
              <w:rPr>
                <w:color w:val="000000"/>
                <w:lang w:val="pt-BR"/>
              </w:rPr>
            </w:pPr>
          </w:p>
          <w:p w:rsidR="001A597E" w:rsidRPr="00231A19" w:rsidRDefault="001A597E" w:rsidP="00B95409">
            <w:pPr>
              <w:jc w:val="center"/>
              <w:rPr>
                <w:color w:val="000000"/>
                <w:lang w:val="pt-BR"/>
              </w:rPr>
            </w:pPr>
          </w:p>
        </w:tc>
        <w:tc>
          <w:tcPr>
            <w:tcW w:w="7226" w:type="dxa"/>
          </w:tcPr>
          <w:p w:rsidR="001A597E" w:rsidRPr="00231A19" w:rsidRDefault="001A597E" w:rsidP="00B95409">
            <w:pPr>
              <w:jc w:val="both"/>
              <w:rPr>
                <w:color w:val="000000"/>
                <w:sz w:val="18"/>
                <w:szCs w:val="18"/>
              </w:rPr>
            </w:pPr>
            <w:r w:rsidRPr="00231A19">
              <w:rPr>
                <w:color w:val="000000"/>
                <w:sz w:val="18"/>
                <w:szCs w:val="18"/>
              </w:rPr>
              <w:t>Xxxx (9 pt)</w:t>
            </w:r>
          </w:p>
          <w:p w:rsidR="001A597E" w:rsidRPr="00231A19" w:rsidRDefault="001A597E" w:rsidP="00B95409">
            <w:pPr>
              <w:rPr>
                <w:color w:val="000000"/>
                <w:lang w:val="pt-BR"/>
              </w:rPr>
            </w:pPr>
          </w:p>
          <w:p w:rsidR="001A597E" w:rsidRDefault="001A597E" w:rsidP="00B95409">
            <w:pPr>
              <w:rPr>
                <w:color w:val="000000"/>
                <w:lang w:val="pt-BR"/>
              </w:rPr>
            </w:pPr>
          </w:p>
          <w:p w:rsidR="001A597E" w:rsidRDefault="001A597E" w:rsidP="00B95409">
            <w:pPr>
              <w:rPr>
                <w:color w:val="000000"/>
                <w:lang w:val="pt-BR"/>
              </w:rPr>
            </w:pPr>
          </w:p>
          <w:p w:rsidR="001A597E" w:rsidRPr="00231A19" w:rsidRDefault="001A597E" w:rsidP="00B95409">
            <w:pPr>
              <w:rPr>
                <w:color w:val="000000"/>
                <w:lang w:val="pt-BR"/>
              </w:rPr>
            </w:pPr>
          </w:p>
          <w:p w:rsidR="001A597E" w:rsidRPr="00231A19" w:rsidRDefault="001A597E" w:rsidP="00B95409">
            <w:pPr>
              <w:rPr>
                <w:color w:val="000000"/>
                <w:lang w:val="pt-BR"/>
              </w:rPr>
            </w:pPr>
          </w:p>
          <w:p w:rsidR="001A597E" w:rsidRPr="00231A19" w:rsidRDefault="001A597E" w:rsidP="00B95409">
            <w:pPr>
              <w:rPr>
                <w:color w:val="000000"/>
                <w:lang w:val="pt-BR"/>
              </w:rPr>
            </w:pPr>
          </w:p>
        </w:tc>
      </w:tr>
    </w:tbl>
    <w:p w:rsidR="001A597E" w:rsidRDefault="001A597E" w:rsidP="001A597E">
      <w:pPr>
        <w:jc w:val="both"/>
        <w:rPr>
          <w:color w:val="000000"/>
          <w:sz w:val="18"/>
          <w:szCs w:val="18"/>
        </w:rPr>
      </w:pPr>
    </w:p>
    <w:p w:rsidR="001A597E" w:rsidRPr="001A597E" w:rsidRDefault="001A597E" w:rsidP="00E56B58">
      <w:pPr>
        <w:tabs>
          <w:tab w:val="left" w:pos="0"/>
        </w:tabs>
        <w:jc w:val="both"/>
        <w:rPr>
          <w:lang w:val="en-ID"/>
        </w:rPr>
      </w:pPr>
    </w:p>
    <w:p w:rsidR="00F117E3" w:rsidRDefault="00F117E3" w:rsidP="00D67B20">
      <w:pPr>
        <w:ind w:firstLine="709"/>
        <w:jc w:val="both"/>
        <w:rPr>
          <w:b/>
          <w:bCs/>
        </w:rPr>
      </w:pPr>
    </w:p>
    <w:p w:rsidR="0088233C" w:rsidRDefault="0088233C" w:rsidP="00904D6D">
      <w:pPr>
        <w:rPr>
          <w:b/>
          <w:bCs/>
        </w:rPr>
      </w:pPr>
    </w:p>
    <w:sectPr w:rsidR="0088233C" w:rsidSect="001B008F">
      <w:headerReference w:type="even" r:id="rId12"/>
      <w:headerReference w:type="default" r:id="rId13"/>
      <w:footerReference w:type="even" r:id="rId14"/>
      <w:footerReference w:type="default" r:id="rId15"/>
      <w:headerReference w:type="first" r:id="rId16"/>
      <w:footerReference w:type="first" r:id="rId17"/>
      <w:pgSz w:w="11907" w:h="16840" w:code="9"/>
      <w:pgMar w:top="1418" w:right="1134" w:bottom="1134" w:left="1418"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409" w:rsidRDefault="00B95409">
      <w:r>
        <w:separator/>
      </w:r>
    </w:p>
  </w:endnote>
  <w:endnote w:type="continuationSeparator" w:id="0">
    <w:p w:rsidR="00B95409" w:rsidRDefault="00B9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409" w:rsidRPr="003D5B84" w:rsidRDefault="00B95409" w:rsidP="00C07BEF">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a9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miDa9&#10;EgIAACgEAAAOAAAAAAAAAAAAAAAAAC4CAABkcnMvZTJvRG9jLnhtbFBLAQItABQABgAIAAAAIQCV&#10;wE/S3AAAAAgBAAAPAAAAAAAAAAAAAAAAAGwEAABkcnMvZG93bnJldi54bWxQSwUGAAAAAAQABADz&#10;AAAAdQUAAAAA&#10;"/>
          </w:pict>
        </mc:Fallback>
      </mc:AlternateContent>
    </w:r>
    <w:r>
      <w:rPr>
        <w:noProof/>
      </w:rPr>
      <w:t>IJPHS</w:t>
    </w:r>
    <w:r w:rsidRPr="003D5B84">
      <w:t xml:space="preserve"> Vol. </w:t>
    </w:r>
    <w:r>
      <w:t>x</w:t>
    </w:r>
    <w:r w:rsidRPr="003D5B84">
      <w:t xml:space="preserve">, No. </w:t>
    </w:r>
    <w:r>
      <w:t>x, Month</w:t>
    </w:r>
    <w:r w:rsidRPr="003D5B84">
      <w:t xml:space="preserve"> </w:t>
    </w:r>
    <w:proofErr w:type="gramStart"/>
    <w:r w:rsidRPr="003D5B84">
      <w:t>201</w:t>
    </w:r>
    <w:r>
      <w:t>x</w:t>
    </w:r>
    <w:r w:rsidRPr="003D5B84">
      <w:t xml:space="preserve"> :</w:t>
    </w:r>
    <w:proofErr w:type="gramEnd"/>
    <w:r w:rsidRPr="003D5B84">
      <w:t xml:space="preserve">  xx – xx</w:t>
    </w:r>
  </w:p>
  <w:p w:rsidR="00B95409" w:rsidRDefault="00B954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409" w:rsidRPr="00C07BEF" w:rsidRDefault="00B95409" w:rsidP="0094367D">
    <w:pPr>
      <w:pStyle w:val="Footer"/>
      <w:pBdr>
        <w:top w:val="single" w:sz="4" w:space="1" w:color="auto"/>
      </w:pBdr>
      <w:jc w:val="right"/>
      <w:rPr>
        <w:i/>
      </w:rPr>
    </w:pPr>
    <w:r w:rsidRPr="00C07BEF">
      <w:rPr>
        <w:i/>
      </w:rPr>
      <w:t>Title of manuscript is short and clear, implies research results (First Author)</w:t>
    </w:r>
  </w:p>
  <w:p w:rsidR="00B95409" w:rsidRDefault="00B9540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409" w:rsidRPr="003D5B84" w:rsidRDefault="00B95409"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w:t>
    </w:r>
    <w:r>
      <w:rPr>
        <w:i/>
        <w:szCs w:val="18"/>
      </w:rPr>
      <w:t>IJPHS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409" w:rsidRDefault="00B95409">
      <w:r>
        <w:separator/>
      </w:r>
    </w:p>
  </w:footnote>
  <w:footnote w:type="continuationSeparator" w:id="0">
    <w:p w:rsidR="00B95409" w:rsidRDefault="00B95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409" w:rsidRPr="003D5B84" w:rsidRDefault="00B95409"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6D335A">
      <w:rPr>
        <w:rStyle w:val="PageNumber"/>
        <w:noProof/>
      </w:rPr>
      <w:t>34</w:t>
    </w:r>
    <w:r w:rsidRPr="003D5B84">
      <w:rPr>
        <w:rStyle w:val="PageNumber"/>
      </w:rPr>
      <w:fldChar w:fldCharType="end"/>
    </w:r>
  </w:p>
  <w:p w:rsidR="00B95409" w:rsidRPr="003D5B84" w:rsidRDefault="00B95409" w:rsidP="00C07BEF">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hOs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toTrB4CAAA8BAAADgAAAAAAAAAAAAAAAAAuAgAAZHJzL2Uyb0RvYy54bWxQSwECLQAU&#10;AAYACAAAACEA3nQSvNoAAAAHAQAADwAAAAAAAAAAAAAAAAB4BAAAZHJzL2Rvd25yZXYueG1sUEsF&#10;BgAAAAAEAAQA8wAAAH8FA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t>2252-8806</w:t>
    </w:r>
  </w:p>
  <w:p w:rsidR="00B95409" w:rsidRDefault="00B954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409" w:rsidRPr="003D5B84" w:rsidRDefault="00B95409"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6D335A">
      <w:rPr>
        <w:rStyle w:val="PageNumber"/>
        <w:noProof/>
      </w:rPr>
      <w:t>35</w:t>
    </w:r>
    <w:r w:rsidRPr="003D5B84">
      <w:rPr>
        <w:rStyle w:val="PageNumber"/>
      </w:rPr>
      <w:fldChar w:fldCharType="end"/>
    </w:r>
  </w:p>
  <w:p w:rsidR="00B95409" w:rsidRPr="003D5B84" w:rsidRDefault="00B95409" w:rsidP="00C07BEF">
    <w:pPr>
      <w:pStyle w:val="Header"/>
      <w:pBdr>
        <w:bottom w:val="single" w:sz="4" w:space="1" w:color="auto"/>
      </w:pBdr>
      <w:tabs>
        <w:tab w:val="clear" w:pos="4320"/>
        <w:tab w:val="clear" w:pos="8640"/>
        <w:tab w:val="left" w:pos="0"/>
        <w:tab w:val="center" w:pos="4301"/>
        <w:tab w:val="left" w:pos="7938"/>
      </w:tabs>
    </w:pPr>
    <w:r>
      <w:t>IJPHS</w:t>
    </w:r>
    <w:r w:rsidRPr="003D5B84">
      <w:tab/>
      <w:t xml:space="preserve">ISSN: </w:t>
    </w:r>
    <w:r>
      <w:t>2252-8806</w:t>
    </w:r>
    <w:r w:rsidRPr="003D5B84">
      <w:tab/>
    </w:r>
    <w:r>
      <w:sym w:font="Wingdings" w:char="F072"/>
    </w:r>
  </w:p>
  <w:p w:rsidR="00B95409" w:rsidRPr="003D5B84" w:rsidRDefault="00B95409" w:rsidP="0094367D">
    <w:pPr>
      <w:pStyle w:val="Header"/>
      <w:ind w:right="360" w:firstLine="360"/>
    </w:pPr>
  </w:p>
  <w:p w:rsidR="00B95409" w:rsidRDefault="00B9540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409" w:rsidRPr="003D5B84" w:rsidRDefault="00B95409" w:rsidP="008B04B3">
    <w:pPr>
      <w:pStyle w:val="Header"/>
      <w:tabs>
        <w:tab w:val="clear" w:pos="4320"/>
        <w:tab w:val="clear" w:pos="8640"/>
      </w:tabs>
      <w:ind w:right="45"/>
      <w:rPr>
        <w:b/>
      </w:rPr>
    </w:pPr>
    <w:r w:rsidRPr="00793D8D">
      <w:rPr>
        <w:b/>
      </w:rPr>
      <w:t>International Journal of</w:t>
    </w:r>
    <w:r>
      <w:rPr>
        <w:b/>
      </w:rPr>
      <w:t xml:space="preserve"> </w:t>
    </w:r>
    <w:r w:rsidRPr="00C34FF6">
      <w:rPr>
        <w:b/>
      </w:rPr>
      <w:t>Public Health Science (IJPHS)</w:t>
    </w:r>
  </w:p>
  <w:p w:rsidR="00B95409" w:rsidRPr="003D5B84" w:rsidRDefault="00B95409" w:rsidP="008B04B3">
    <w:pPr>
      <w:pStyle w:val="Header"/>
      <w:tabs>
        <w:tab w:val="clear" w:pos="4320"/>
        <w:tab w:val="clear" w:pos="8640"/>
      </w:tabs>
      <w:ind w:right="45"/>
    </w:pPr>
    <w:r w:rsidRPr="003D5B84">
      <w:t>Vol.</w:t>
    </w:r>
    <w:r>
      <w:t>x</w:t>
    </w:r>
    <w:r w:rsidRPr="003D5B84">
      <w:t>, No.</w:t>
    </w:r>
    <w:r>
      <w:t>x</w:t>
    </w:r>
    <w:r w:rsidRPr="003D5B84">
      <w:t xml:space="preserve">, </w:t>
    </w:r>
    <w:r>
      <w:t>July</w:t>
    </w:r>
    <w:r w:rsidRPr="003D5B84">
      <w:t xml:space="preserve"> 201</w:t>
    </w:r>
    <w:r>
      <w:t>x</w:t>
    </w:r>
    <w:r w:rsidRPr="003D5B84">
      <w:t>, pp. xx~xx</w:t>
    </w:r>
  </w:p>
  <w:p w:rsidR="00B95409" w:rsidRPr="003D5B84" w:rsidRDefault="00B95409" w:rsidP="00957C11">
    <w:pPr>
      <w:pStyle w:val="Header"/>
      <w:tabs>
        <w:tab w:val="clear" w:pos="4320"/>
        <w:tab w:val="clear" w:pos="8640"/>
        <w:tab w:val="left" w:pos="7938"/>
        <w:tab w:val="right" w:pos="8789"/>
      </w:tabs>
      <w:rPr>
        <w:rStyle w:val="PageNumber"/>
      </w:rPr>
    </w:pPr>
    <w:r w:rsidRPr="003D5B84">
      <w:t xml:space="preserve">ISSN: </w:t>
    </w:r>
    <w:r>
      <w:t>2252-8806</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6D335A">
      <w:rPr>
        <w:rStyle w:val="PageNumber"/>
        <w:noProof/>
      </w:rPr>
      <w:t>31</w:t>
    </w:r>
    <w:r w:rsidRPr="003D5B84">
      <w:rPr>
        <w:rStyle w:val="PageNumber"/>
      </w:rPr>
      <w:fldChar w:fldCharType="end"/>
    </w:r>
  </w:p>
  <w:p w:rsidR="00B95409" w:rsidRPr="003D5B84" w:rsidRDefault="00B95409"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A9Nbiy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p w:rsidR="00B95409" w:rsidRDefault="00B954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2E64"/>
    <w:multiLevelType w:val="hybridMultilevel"/>
    <w:tmpl w:val="FD36A18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173561"/>
    <w:multiLevelType w:val="hybridMultilevel"/>
    <w:tmpl w:val="193801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D9261C"/>
    <w:multiLevelType w:val="hybridMultilevel"/>
    <w:tmpl w:val="5FBE627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5"/>
  </w:num>
  <w:num w:numId="2">
    <w:abstractNumId w:val="11"/>
  </w:num>
  <w:num w:numId="3">
    <w:abstractNumId w:val="19"/>
  </w:num>
  <w:num w:numId="4">
    <w:abstractNumId w:val="10"/>
  </w:num>
  <w:num w:numId="5">
    <w:abstractNumId w:val="13"/>
  </w:num>
  <w:num w:numId="6">
    <w:abstractNumId w:val="16"/>
  </w:num>
  <w:num w:numId="7">
    <w:abstractNumId w:val="14"/>
  </w:num>
  <w:num w:numId="8">
    <w:abstractNumId w:val="12"/>
  </w:num>
  <w:num w:numId="9">
    <w:abstractNumId w:val="9"/>
  </w:num>
  <w:num w:numId="10">
    <w:abstractNumId w:val="2"/>
  </w:num>
  <w:num w:numId="11">
    <w:abstractNumId w:val="1"/>
  </w:num>
  <w:num w:numId="12">
    <w:abstractNumId w:val="5"/>
  </w:num>
  <w:num w:numId="13">
    <w:abstractNumId w:val="3"/>
  </w:num>
  <w:num w:numId="14">
    <w:abstractNumId w:val="7"/>
  </w:num>
  <w:num w:numId="15">
    <w:abstractNumId w:val="18"/>
  </w:num>
  <w:num w:numId="16">
    <w:abstractNumId w:val="8"/>
  </w:num>
  <w:num w:numId="17">
    <w:abstractNumId w:val="17"/>
  </w:num>
  <w:num w:numId="18">
    <w:abstractNumId w:val="6"/>
  </w:num>
  <w:num w:numId="19">
    <w:abstractNumId w:val="4"/>
  </w:num>
  <w:num w:numId="2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1C52"/>
    <w:rsid w:val="00093380"/>
    <w:rsid w:val="00094EB8"/>
    <w:rsid w:val="00095C3E"/>
    <w:rsid w:val="00096883"/>
    <w:rsid w:val="000973CC"/>
    <w:rsid w:val="00097958"/>
    <w:rsid w:val="00097E2D"/>
    <w:rsid w:val="000A15DA"/>
    <w:rsid w:val="000A592D"/>
    <w:rsid w:val="000A643C"/>
    <w:rsid w:val="000A7ACA"/>
    <w:rsid w:val="000B0641"/>
    <w:rsid w:val="000B4E8C"/>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CBF"/>
    <w:rsid w:val="000E4FD6"/>
    <w:rsid w:val="000E708C"/>
    <w:rsid w:val="000F279B"/>
    <w:rsid w:val="000F29E1"/>
    <w:rsid w:val="000F3DD9"/>
    <w:rsid w:val="000F61E2"/>
    <w:rsid w:val="000F7ED5"/>
    <w:rsid w:val="0010046E"/>
    <w:rsid w:val="00102A61"/>
    <w:rsid w:val="001041EB"/>
    <w:rsid w:val="00104BF1"/>
    <w:rsid w:val="00106F02"/>
    <w:rsid w:val="00107694"/>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237F"/>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DF6"/>
    <w:rsid w:val="00177E2C"/>
    <w:rsid w:val="00180992"/>
    <w:rsid w:val="00180FD2"/>
    <w:rsid w:val="00180FD4"/>
    <w:rsid w:val="00181509"/>
    <w:rsid w:val="00181965"/>
    <w:rsid w:val="001835FA"/>
    <w:rsid w:val="00185202"/>
    <w:rsid w:val="00187B69"/>
    <w:rsid w:val="0019050C"/>
    <w:rsid w:val="00192E8C"/>
    <w:rsid w:val="0019391D"/>
    <w:rsid w:val="00195579"/>
    <w:rsid w:val="001A0839"/>
    <w:rsid w:val="001A33EF"/>
    <w:rsid w:val="001A597E"/>
    <w:rsid w:val="001B008F"/>
    <w:rsid w:val="001B0927"/>
    <w:rsid w:val="001B2439"/>
    <w:rsid w:val="001B2EF9"/>
    <w:rsid w:val="001B4AB3"/>
    <w:rsid w:val="001B5250"/>
    <w:rsid w:val="001B5719"/>
    <w:rsid w:val="001B621C"/>
    <w:rsid w:val="001B64D0"/>
    <w:rsid w:val="001B66D1"/>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30C7"/>
    <w:rsid w:val="001F470F"/>
    <w:rsid w:val="001F4ACD"/>
    <w:rsid w:val="001F6170"/>
    <w:rsid w:val="001F63D7"/>
    <w:rsid w:val="001F6ACF"/>
    <w:rsid w:val="001F6FB1"/>
    <w:rsid w:val="00204431"/>
    <w:rsid w:val="0020464A"/>
    <w:rsid w:val="00204A25"/>
    <w:rsid w:val="0020608E"/>
    <w:rsid w:val="002073B6"/>
    <w:rsid w:val="002076CA"/>
    <w:rsid w:val="002079DD"/>
    <w:rsid w:val="0021197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77A70"/>
    <w:rsid w:val="00281882"/>
    <w:rsid w:val="00281D99"/>
    <w:rsid w:val="002821B9"/>
    <w:rsid w:val="0028450D"/>
    <w:rsid w:val="00290220"/>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222B"/>
    <w:rsid w:val="00333AB9"/>
    <w:rsid w:val="00333C06"/>
    <w:rsid w:val="0033459B"/>
    <w:rsid w:val="00335BE8"/>
    <w:rsid w:val="00337C87"/>
    <w:rsid w:val="0034265F"/>
    <w:rsid w:val="00343A49"/>
    <w:rsid w:val="00346441"/>
    <w:rsid w:val="003475EC"/>
    <w:rsid w:val="0035076B"/>
    <w:rsid w:val="00352BEB"/>
    <w:rsid w:val="00353885"/>
    <w:rsid w:val="0035591D"/>
    <w:rsid w:val="00361EB1"/>
    <w:rsid w:val="003629D1"/>
    <w:rsid w:val="003637CE"/>
    <w:rsid w:val="003715EC"/>
    <w:rsid w:val="00373753"/>
    <w:rsid w:val="00376867"/>
    <w:rsid w:val="00376A96"/>
    <w:rsid w:val="003772AC"/>
    <w:rsid w:val="00381E56"/>
    <w:rsid w:val="003826FF"/>
    <w:rsid w:val="003828F6"/>
    <w:rsid w:val="00393D9D"/>
    <w:rsid w:val="00393E61"/>
    <w:rsid w:val="003947C3"/>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2A0F"/>
    <w:rsid w:val="003C3E42"/>
    <w:rsid w:val="003C4B05"/>
    <w:rsid w:val="003C72E2"/>
    <w:rsid w:val="003D07D2"/>
    <w:rsid w:val="003D5B84"/>
    <w:rsid w:val="003D79CF"/>
    <w:rsid w:val="003E0207"/>
    <w:rsid w:val="003E304D"/>
    <w:rsid w:val="003E4AA5"/>
    <w:rsid w:val="003E5D03"/>
    <w:rsid w:val="003F0964"/>
    <w:rsid w:val="003F18A1"/>
    <w:rsid w:val="003F1D93"/>
    <w:rsid w:val="003F2775"/>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2BC"/>
    <w:rsid w:val="00424E85"/>
    <w:rsid w:val="00425BE9"/>
    <w:rsid w:val="00427072"/>
    <w:rsid w:val="0043585C"/>
    <w:rsid w:val="00441F35"/>
    <w:rsid w:val="00443205"/>
    <w:rsid w:val="004439D2"/>
    <w:rsid w:val="004503E9"/>
    <w:rsid w:val="00453463"/>
    <w:rsid w:val="004550E4"/>
    <w:rsid w:val="004637E8"/>
    <w:rsid w:val="00467368"/>
    <w:rsid w:val="004674CD"/>
    <w:rsid w:val="0047059A"/>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B7ECD"/>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4F7AAD"/>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25DF"/>
    <w:rsid w:val="00563102"/>
    <w:rsid w:val="00572013"/>
    <w:rsid w:val="00573257"/>
    <w:rsid w:val="0057406E"/>
    <w:rsid w:val="005778F7"/>
    <w:rsid w:val="00577A3F"/>
    <w:rsid w:val="005805DF"/>
    <w:rsid w:val="00581618"/>
    <w:rsid w:val="0058326E"/>
    <w:rsid w:val="005833B8"/>
    <w:rsid w:val="00583A03"/>
    <w:rsid w:val="005841BA"/>
    <w:rsid w:val="00584301"/>
    <w:rsid w:val="005877F2"/>
    <w:rsid w:val="00591FC7"/>
    <w:rsid w:val="00592442"/>
    <w:rsid w:val="0059283B"/>
    <w:rsid w:val="00593E92"/>
    <w:rsid w:val="005949F1"/>
    <w:rsid w:val="005956F7"/>
    <w:rsid w:val="00595CB2"/>
    <w:rsid w:val="00596D6A"/>
    <w:rsid w:val="005978C8"/>
    <w:rsid w:val="005A0A0F"/>
    <w:rsid w:val="005A1AD0"/>
    <w:rsid w:val="005A2361"/>
    <w:rsid w:val="005A24ED"/>
    <w:rsid w:val="005A2573"/>
    <w:rsid w:val="005A4783"/>
    <w:rsid w:val="005A6B87"/>
    <w:rsid w:val="005B0825"/>
    <w:rsid w:val="005B0A84"/>
    <w:rsid w:val="005B2D16"/>
    <w:rsid w:val="005B45A0"/>
    <w:rsid w:val="005B4DAF"/>
    <w:rsid w:val="005B56A0"/>
    <w:rsid w:val="005B5788"/>
    <w:rsid w:val="005B60D5"/>
    <w:rsid w:val="005B693A"/>
    <w:rsid w:val="005B6F9F"/>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26C3"/>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2F3B"/>
    <w:rsid w:val="0067364F"/>
    <w:rsid w:val="00675D81"/>
    <w:rsid w:val="00676455"/>
    <w:rsid w:val="00676EB9"/>
    <w:rsid w:val="00681DBA"/>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47B6"/>
    <w:rsid w:val="006B6754"/>
    <w:rsid w:val="006B71FD"/>
    <w:rsid w:val="006C0661"/>
    <w:rsid w:val="006C0E3B"/>
    <w:rsid w:val="006C18AF"/>
    <w:rsid w:val="006C1D12"/>
    <w:rsid w:val="006D29E6"/>
    <w:rsid w:val="006D335A"/>
    <w:rsid w:val="006D449D"/>
    <w:rsid w:val="006D5851"/>
    <w:rsid w:val="006D5DAA"/>
    <w:rsid w:val="006D60D9"/>
    <w:rsid w:val="006D6178"/>
    <w:rsid w:val="006E1C9E"/>
    <w:rsid w:val="006E361D"/>
    <w:rsid w:val="006E3810"/>
    <w:rsid w:val="006E44B1"/>
    <w:rsid w:val="006E492E"/>
    <w:rsid w:val="006E4A06"/>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571F"/>
    <w:rsid w:val="00717A32"/>
    <w:rsid w:val="00720729"/>
    <w:rsid w:val="007212E2"/>
    <w:rsid w:val="00723DEB"/>
    <w:rsid w:val="007240E7"/>
    <w:rsid w:val="00726830"/>
    <w:rsid w:val="00731AEB"/>
    <w:rsid w:val="00740C36"/>
    <w:rsid w:val="00741A8F"/>
    <w:rsid w:val="00742008"/>
    <w:rsid w:val="00743BA0"/>
    <w:rsid w:val="00747DFD"/>
    <w:rsid w:val="00752A21"/>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3D8D"/>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C76"/>
    <w:rsid w:val="008332DA"/>
    <w:rsid w:val="008344C2"/>
    <w:rsid w:val="00834BAC"/>
    <w:rsid w:val="00836D01"/>
    <w:rsid w:val="008379F3"/>
    <w:rsid w:val="00837EA3"/>
    <w:rsid w:val="008439A0"/>
    <w:rsid w:val="00843BE9"/>
    <w:rsid w:val="008479F1"/>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363"/>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1DBC"/>
    <w:rsid w:val="00981036"/>
    <w:rsid w:val="00981E5F"/>
    <w:rsid w:val="00983846"/>
    <w:rsid w:val="00985738"/>
    <w:rsid w:val="00990CC8"/>
    <w:rsid w:val="0099227E"/>
    <w:rsid w:val="009949C5"/>
    <w:rsid w:val="009A19B2"/>
    <w:rsid w:val="009B3EC0"/>
    <w:rsid w:val="009B5FE8"/>
    <w:rsid w:val="009B62B1"/>
    <w:rsid w:val="009B76C2"/>
    <w:rsid w:val="009C080D"/>
    <w:rsid w:val="009C5293"/>
    <w:rsid w:val="009D117C"/>
    <w:rsid w:val="009D41DF"/>
    <w:rsid w:val="009D709E"/>
    <w:rsid w:val="009E0249"/>
    <w:rsid w:val="009E055A"/>
    <w:rsid w:val="009E08B5"/>
    <w:rsid w:val="009E0F0F"/>
    <w:rsid w:val="009E36AC"/>
    <w:rsid w:val="009E4FB4"/>
    <w:rsid w:val="009E5694"/>
    <w:rsid w:val="009E585B"/>
    <w:rsid w:val="009E6269"/>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03D1"/>
    <w:rsid w:val="00A85A64"/>
    <w:rsid w:val="00A93118"/>
    <w:rsid w:val="00AA3EC5"/>
    <w:rsid w:val="00AA48F5"/>
    <w:rsid w:val="00AA4B39"/>
    <w:rsid w:val="00AA512B"/>
    <w:rsid w:val="00AA608B"/>
    <w:rsid w:val="00AA7229"/>
    <w:rsid w:val="00AA77C0"/>
    <w:rsid w:val="00AB1CD7"/>
    <w:rsid w:val="00AB1F5C"/>
    <w:rsid w:val="00AB4311"/>
    <w:rsid w:val="00AB49DA"/>
    <w:rsid w:val="00AB59A7"/>
    <w:rsid w:val="00AB68F7"/>
    <w:rsid w:val="00AC077B"/>
    <w:rsid w:val="00AC0C82"/>
    <w:rsid w:val="00AC1F08"/>
    <w:rsid w:val="00AC60ED"/>
    <w:rsid w:val="00AC64B6"/>
    <w:rsid w:val="00AD564C"/>
    <w:rsid w:val="00AD7639"/>
    <w:rsid w:val="00AE3182"/>
    <w:rsid w:val="00AE43A3"/>
    <w:rsid w:val="00AF095A"/>
    <w:rsid w:val="00AF1119"/>
    <w:rsid w:val="00AF11A2"/>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77D69"/>
    <w:rsid w:val="00B809F3"/>
    <w:rsid w:val="00B8461D"/>
    <w:rsid w:val="00B85932"/>
    <w:rsid w:val="00B87588"/>
    <w:rsid w:val="00B92474"/>
    <w:rsid w:val="00B95409"/>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4FF3"/>
    <w:rsid w:val="00C25B1C"/>
    <w:rsid w:val="00C26299"/>
    <w:rsid w:val="00C311E4"/>
    <w:rsid w:val="00C322BB"/>
    <w:rsid w:val="00C329B6"/>
    <w:rsid w:val="00C33540"/>
    <w:rsid w:val="00C34FF6"/>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6A1A"/>
    <w:rsid w:val="00C80CAC"/>
    <w:rsid w:val="00C82B93"/>
    <w:rsid w:val="00C8516B"/>
    <w:rsid w:val="00C854C1"/>
    <w:rsid w:val="00C85B81"/>
    <w:rsid w:val="00C9178F"/>
    <w:rsid w:val="00C92DD8"/>
    <w:rsid w:val="00C93F76"/>
    <w:rsid w:val="00C9655A"/>
    <w:rsid w:val="00C96FCA"/>
    <w:rsid w:val="00C9754D"/>
    <w:rsid w:val="00C975DF"/>
    <w:rsid w:val="00CA1B75"/>
    <w:rsid w:val="00CA5D84"/>
    <w:rsid w:val="00CA6D2C"/>
    <w:rsid w:val="00CC1960"/>
    <w:rsid w:val="00CE1CF3"/>
    <w:rsid w:val="00CE70F3"/>
    <w:rsid w:val="00CE7659"/>
    <w:rsid w:val="00CF0E18"/>
    <w:rsid w:val="00CF29A4"/>
    <w:rsid w:val="00CF2F2E"/>
    <w:rsid w:val="00CF624D"/>
    <w:rsid w:val="00CF6E34"/>
    <w:rsid w:val="00D03226"/>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1FDA"/>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A1C"/>
    <w:rsid w:val="00D67099"/>
    <w:rsid w:val="00D67B20"/>
    <w:rsid w:val="00D71939"/>
    <w:rsid w:val="00D72D27"/>
    <w:rsid w:val="00D73317"/>
    <w:rsid w:val="00D73CCE"/>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6557"/>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1FB7"/>
    <w:rsid w:val="00E23F00"/>
    <w:rsid w:val="00E2599A"/>
    <w:rsid w:val="00E26A0F"/>
    <w:rsid w:val="00E318D4"/>
    <w:rsid w:val="00E339EE"/>
    <w:rsid w:val="00E35528"/>
    <w:rsid w:val="00E3557A"/>
    <w:rsid w:val="00E4014C"/>
    <w:rsid w:val="00E401FC"/>
    <w:rsid w:val="00E42D1B"/>
    <w:rsid w:val="00E46C0B"/>
    <w:rsid w:val="00E46FAB"/>
    <w:rsid w:val="00E474DC"/>
    <w:rsid w:val="00E5155C"/>
    <w:rsid w:val="00E53CC0"/>
    <w:rsid w:val="00E55EA9"/>
    <w:rsid w:val="00E56307"/>
    <w:rsid w:val="00E56B58"/>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525"/>
    <w:rsid w:val="00ED570E"/>
    <w:rsid w:val="00ED5CFE"/>
    <w:rsid w:val="00EE005A"/>
    <w:rsid w:val="00EE05CF"/>
    <w:rsid w:val="00EE10AE"/>
    <w:rsid w:val="00EE2DA2"/>
    <w:rsid w:val="00EE2EAF"/>
    <w:rsid w:val="00EE4290"/>
    <w:rsid w:val="00EE589E"/>
    <w:rsid w:val="00EE76D0"/>
    <w:rsid w:val="00EE7C89"/>
    <w:rsid w:val="00EF1185"/>
    <w:rsid w:val="00EF754D"/>
    <w:rsid w:val="00F027E9"/>
    <w:rsid w:val="00F0775E"/>
    <w:rsid w:val="00F117E3"/>
    <w:rsid w:val="00F15F69"/>
    <w:rsid w:val="00F1612D"/>
    <w:rsid w:val="00F173DD"/>
    <w:rsid w:val="00F21119"/>
    <w:rsid w:val="00F25164"/>
    <w:rsid w:val="00F252DF"/>
    <w:rsid w:val="00F277D3"/>
    <w:rsid w:val="00F30997"/>
    <w:rsid w:val="00F32896"/>
    <w:rsid w:val="00F33C08"/>
    <w:rsid w:val="00F33E34"/>
    <w:rsid w:val="00F34007"/>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57FEC"/>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525"/>
    <w:rsid w:val="00F926B9"/>
    <w:rsid w:val="00F9541D"/>
    <w:rsid w:val="00FA0403"/>
    <w:rsid w:val="00FA597D"/>
    <w:rsid w:val="00FA5B9A"/>
    <w:rsid w:val="00FB01B9"/>
    <w:rsid w:val="00FB763A"/>
    <w:rsid w:val="00FB79C0"/>
    <w:rsid w:val="00FC2EB8"/>
    <w:rsid w:val="00FC5C43"/>
    <w:rsid w:val="00FD1598"/>
    <w:rsid w:val="00FD576E"/>
    <w:rsid w:val="00FD596B"/>
    <w:rsid w:val="00FE43A3"/>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8787342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4746726">
      <w:bodyDiv w:val="1"/>
      <w:marLeft w:val="0"/>
      <w:marRight w:val="0"/>
      <w:marTop w:val="0"/>
      <w:marBottom w:val="0"/>
      <w:divBdr>
        <w:top w:val="none" w:sz="0" w:space="0" w:color="auto"/>
        <w:left w:val="none" w:sz="0" w:space="0" w:color="auto"/>
        <w:bottom w:val="none" w:sz="0" w:space="0" w:color="auto"/>
        <w:right w:val="none" w:sz="0" w:space="0" w:color="auto"/>
      </w:divBdr>
    </w:div>
    <w:div w:id="1662928630">
      <w:bodyDiv w:val="1"/>
      <w:marLeft w:val="0"/>
      <w:marRight w:val="0"/>
      <w:marTop w:val="0"/>
      <w:marBottom w:val="0"/>
      <w:divBdr>
        <w:top w:val="none" w:sz="0" w:space="0" w:color="auto"/>
        <w:left w:val="none" w:sz="0" w:space="0" w:color="auto"/>
        <w:bottom w:val="none" w:sz="0" w:space="0" w:color="auto"/>
        <w:right w:val="none" w:sz="0" w:space="0" w:color="auto"/>
      </w:divBdr>
      <w:divsChild>
        <w:div w:id="1079984445">
          <w:marLeft w:val="0"/>
          <w:marRight w:val="0"/>
          <w:marTop w:val="120"/>
          <w:marBottom w:val="360"/>
          <w:divBdr>
            <w:top w:val="none" w:sz="0" w:space="0" w:color="auto"/>
            <w:left w:val="none" w:sz="0" w:space="0" w:color="auto"/>
            <w:bottom w:val="none" w:sz="0" w:space="0" w:color="auto"/>
            <w:right w:val="none" w:sz="0" w:space="0" w:color="auto"/>
          </w:divBdr>
          <w:divsChild>
            <w:div w:id="11118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9964395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aila_fitriani89@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A8840-3D91-4333-BD28-3969ABB4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6</Pages>
  <Words>2926</Words>
  <Characters>17245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brevi90</cp:lastModifiedBy>
  <cp:revision>8</cp:revision>
  <cp:lastPrinted>2004-12-30T03:27:00Z</cp:lastPrinted>
  <dcterms:created xsi:type="dcterms:W3CDTF">2018-11-09T03:38:00Z</dcterms:created>
  <dcterms:modified xsi:type="dcterms:W3CDTF">2018-11-09T07:00:00Z</dcterms:modified>
</cp:coreProperties>
</file>