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F7" w:rsidRPr="00670BB5" w:rsidRDefault="005F25F7" w:rsidP="005F25F7">
      <w:pPr>
        <w:spacing w:after="200"/>
        <w:jc w:val="center"/>
        <w:rPr>
          <w:b/>
          <w:color w:val="000000"/>
          <w:sz w:val="32"/>
          <w:szCs w:val="32"/>
        </w:rPr>
      </w:pPr>
      <w:r w:rsidRPr="00670BB5">
        <w:rPr>
          <w:b/>
          <w:color w:val="000000"/>
          <w:sz w:val="32"/>
          <w:szCs w:val="32"/>
        </w:rPr>
        <w:t xml:space="preserve">THE CORRELATION BETWEEN PURCHASING POWER, FRUITS AND VEGETABLES CONSUMPTION, </w:t>
      </w:r>
      <w:r w:rsidRPr="00670BB5">
        <w:rPr>
          <w:b/>
          <w:color w:val="000000"/>
          <w:sz w:val="32"/>
          <w:szCs w:val="32"/>
          <w:lang w:val="id-ID"/>
        </w:rPr>
        <w:t>WITH</w:t>
      </w:r>
      <w:r w:rsidRPr="00670BB5">
        <w:rPr>
          <w:b/>
          <w:color w:val="000000"/>
          <w:sz w:val="32"/>
          <w:szCs w:val="32"/>
        </w:rPr>
        <w:t xml:space="preserve"> NUTRITION STATUS OF ELEMENTARY SCHOOL STUDENTS</w:t>
      </w:r>
    </w:p>
    <w:p w:rsidR="005F25F7" w:rsidRPr="003D5B84" w:rsidRDefault="005F25F7" w:rsidP="005F25F7">
      <w:pPr>
        <w:tabs>
          <w:tab w:val="left" w:pos="6975"/>
        </w:tabs>
        <w:rPr>
          <w:b/>
          <w:bCs/>
        </w:rPr>
      </w:pPr>
      <w:r>
        <w:rPr>
          <w:b/>
          <w:bCs/>
        </w:rPr>
        <w:tab/>
      </w:r>
    </w:p>
    <w:p w:rsidR="005F25F7" w:rsidRPr="00670BB5" w:rsidRDefault="005F25F7" w:rsidP="005F25F7">
      <w:pPr>
        <w:jc w:val="center"/>
        <w:rPr>
          <w:color w:val="000000"/>
        </w:rPr>
      </w:pPr>
      <w:r w:rsidRPr="00670BB5">
        <w:rPr>
          <w:b/>
          <w:color w:val="000000"/>
        </w:rPr>
        <w:t>Yohan Fallo</w:t>
      </w:r>
      <w:r w:rsidRPr="00670BB5">
        <w:rPr>
          <w:b/>
          <w:color w:val="000000"/>
          <w:vertAlign w:val="superscript"/>
        </w:rPr>
        <w:t>1</w:t>
      </w:r>
      <w:r w:rsidRPr="00670BB5">
        <w:rPr>
          <w:b/>
          <w:color w:val="000000"/>
        </w:rPr>
        <w:t xml:space="preserve"> </w:t>
      </w:r>
      <w:r w:rsidRPr="00670BB5">
        <w:rPr>
          <w:b/>
          <w:color w:val="000000"/>
          <w:lang w:val="id-ID"/>
        </w:rPr>
        <w:t xml:space="preserve">, </w:t>
      </w:r>
      <w:r w:rsidRPr="00670BB5">
        <w:rPr>
          <w:b/>
          <w:color w:val="000000"/>
        </w:rPr>
        <w:t>Adi Magna Patriadi Nuhriwangsa</w:t>
      </w:r>
      <w:r w:rsidRPr="00670BB5">
        <w:rPr>
          <w:b/>
          <w:color w:val="000000"/>
          <w:vertAlign w:val="superscript"/>
        </w:rPr>
        <w:t>2</w:t>
      </w:r>
      <w:r w:rsidRPr="00670BB5">
        <w:rPr>
          <w:b/>
          <w:color w:val="000000"/>
        </w:rPr>
        <w:t xml:space="preserve"> </w:t>
      </w:r>
      <w:r w:rsidRPr="00670BB5">
        <w:rPr>
          <w:b/>
          <w:color w:val="000000"/>
          <w:lang w:val="id-ID"/>
        </w:rPr>
        <w:t>,</w:t>
      </w:r>
      <w:r w:rsidRPr="00670BB5">
        <w:rPr>
          <w:b/>
          <w:color w:val="000000"/>
        </w:rPr>
        <w:t>Diffah Hanim</w:t>
      </w:r>
      <w:r w:rsidRPr="00670BB5">
        <w:rPr>
          <w:b/>
          <w:color w:val="000000"/>
          <w:vertAlign w:val="superscript"/>
        </w:rPr>
        <w:t>3</w:t>
      </w:r>
    </w:p>
    <w:p w:rsidR="005F25F7" w:rsidRPr="00670BB5" w:rsidRDefault="005F25F7" w:rsidP="005F25F7">
      <w:pPr>
        <w:rPr>
          <w:color w:val="000000"/>
          <w:sz w:val="22"/>
        </w:rPr>
      </w:pPr>
    </w:p>
    <w:p w:rsidR="005F25F7" w:rsidRPr="00C40409" w:rsidRDefault="005F25F7" w:rsidP="005F25F7">
      <w:pPr>
        <w:pStyle w:val="ListParagraph"/>
        <w:tabs>
          <w:tab w:val="left" w:pos="720"/>
        </w:tabs>
        <w:spacing w:after="0" w:line="240" w:lineRule="auto"/>
        <w:ind w:left="0"/>
        <w:jc w:val="center"/>
        <w:rPr>
          <w:rFonts w:ascii="Times New Roman" w:hAnsi="Times New Roman"/>
          <w:sz w:val="18"/>
          <w:szCs w:val="18"/>
          <w:lang w:val="id-ID"/>
        </w:rPr>
      </w:pPr>
      <w:r w:rsidRPr="00670BB5">
        <w:rPr>
          <w:rFonts w:ascii="Times New Roman" w:hAnsi="Times New Roman"/>
          <w:sz w:val="18"/>
          <w:szCs w:val="18"/>
          <w:vertAlign w:val="superscript"/>
          <w:lang w:val="id-ID"/>
        </w:rPr>
        <w:t>1</w:t>
      </w:r>
      <w:r w:rsidRPr="00670BB5">
        <w:rPr>
          <w:rFonts w:ascii="Times New Roman" w:hAnsi="Times New Roman"/>
          <w:sz w:val="18"/>
          <w:szCs w:val="18"/>
        </w:rPr>
        <w:t xml:space="preserve">Human Nutrition, </w:t>
      </w:r>
      <w:r w:rsidRPr="00670BB5">
        <w:rPr>
          <w:rFonts w:ascii="Times New Roman" w:eastAsia="Arial" w:hAnsi="Times New Roman"/>
          <w:sz w:val="18"/>
          <w:szCs w:val="18"/>
        </w:rPr>
        <w:t>Nutrition Science, Master Program of  Sebelas Maret</w:t>
      </w:r>
      <w:r>
        <w:rPr>
          <w:rFonts w:ascii="Times New Roman" w:hAnsi="Times New Roman"/>
          <w:sz w:val="18"/>
          <w:szCs w:val="18"/>
        </w:rPr>
        <w:t>, Surakarta</w:t>
      </w:r>
      <w:r>
        <w:rPr>
          <w:rFonts w:ascii="Times New Roman" w:hAnsi="Times New Roman"/>
          <w:sz w:val="18"/>
          <w:szCs w:val="18"/>
          <w:lang w:val="id-ID"/>
        </w:rPr>
        <w:t>, Indonesia</w:t>
      </w:r>
      <w:r>
        <w:rPr>
          <w:rFonts w:ascii="Times New Roman" w:hAnsi="Times New Roman"/>
          <w:sz w:val="18"/>
          <w:szCs w:val="18"/>
        </w:rPr>
        <w:t xml:space="preserve">. </w:t>
      </w:r>
    </w:p>
    <w:p w:rsidR="005F25F7" w:rsidRPr="00670BB5" w:rsidRDefault="005F25F7" w:rsidP="005F25F7">
      <w:pPr>
        <w:pStyle w:val="HTMLPreformatted"/>
        <w:jc w:val="center"/>
        <w:rPr>
          <w:rFonts w:ascii="Times New Roman" w:hAnsi="Times New Roman" w:cs="Times New Roman"/>
          <w:sz w:val="18"/>
          <w:szCs w:val="18"/>
          <w:lang/>
        </w:rPr>
      </w:pPr>
      <w:r w:rsidRPr="00670BB5">
        <w:rPr>
          <w:rFonts w:ascii="Times New Roman" w:hAnsi="Times New Roman" w:cs="Times New Roman"/>
          <w:color w:val="000000"/>
          <w:sz w:val="18"/>
          <w:szCs w:val="18"/>
          <w:vertAlign w:val="superscript"/>
          <w:lang w:val="id-ID"/>
        </w:rPr>
        <w:t>2</w:t>
      </w:r>
      <w:r w:rsidRPr="00670BB5">
        <w:rPr>
          <w:rFonts w:ascii="Times New Roman" w:hAnsi="Times New Roman" w:cs="Times New Roman"/>
          <w:sz w:val="18"/>
          <w:szCs w:val="18"/>
          <w:lang/>
        </w:rPr>
        <w:t xml:space="preserve"> Department of Animal Science, UNS Faculty of Agriculture, Surakarta</w:t>
      </w:r>
      <w:r>
        <w:rPr>
          <w:rFonts w:ascii="Times New Roman" w:hAnsi="Times New Roman" w:cs="Times New Roman"/>
          <w:sz w:val="18"/>
          <w:szCs w:val="18"/>
          <w:lang w:val="id-ID"/>
        </w:rPr>
        <w:t>, Indonesia</w:t>
      </w:r>
      <w:r w:rsidRPr="00670BB5">
        <w:rPr>
          <w:rFonts w:ascii="Times New Roman" w:hAnsi="Times New Roman" w:cs="Times New Roman"/>
          <w:sz w:val="18"/>
          <w:szCs w:val="18"/>
          <w:lang/>
        </w:rPr>
        <w:t xml:space="preserve">. </w:t>
      </w:r>
    </w:p>
    <w:p w:rsidR="005F25F7" w:rsidRPr="00670BB5" w:rsidRDefault="005F25F7" w:rsidP="005F25F7">
      <w:pPr>
        <w:pStyle w:val="HTMLPreformatted"/>
        <w:jc w:val="center"/>
        <w:rPr>
          <w:rFonts w:ascii="Times New Roman" w:hAnsi="Times New Roman" w:cs="Times New Roman"/>
          <w:sz w:val="18"/>
          <w:szCs w:val="18"/>
          <w:lang/>
        </w:rPr>
      </w:pPr>
      <w:r w:rsidRPr="00670BB5">
        <w:rPr>
          <w:rFonts w:ascii="Times New Roman" w:hAnsi="Times New Roman" w:cs="Times New Roman"/>
          <w:color w:val="000000"/>
          <w:sz w:val="18"/>
          <w:szCs w:val="18"/>
          <w:vertAlign w:val="superscript"/>
          <w:lang w:val="id-ID"/>
        </w:rPr>
        <w:t>3</w:t>
      </w:r>
      <w:r w:rsidRPr="00670BB5">
        <w:rPr>
          <w:rFonts w:ascii="Times New Roman" w:hAnsi="Times New Roman" w:cs="Times New Roman"/>
          <w:sz w:val="18"/>
          <w:szCs w:val="18"/>
          <w:lang/>
        </w:rPr>
        <w:t xml:space="preserve"> Department of Nutrition, UNS Faculty of Medicine, Surakarta</w:t>
      </w:r>
      <w:r>
        <w:rPr>
          <w:rFonts w:ascii="Times New Roman" w:hAnsi="Times New Roman" w:cs="Times New Roman"/>
          <w:sz w:val="18"/>
          <w:szCs w:val="18"/>
          <w:lang w:val="id-ID"/>
        </w:rPr>
        <w:t>, Indonesia</w:t>
      </w:r>
      <w:r w:rsidRPr="00670BB5">
        <w:rPr>
          <w:rFonts w:ascii="Times New Roman" w:hAnsi="Times New Roman" w:cs="Times New Roman"/>
          <w:sz w:val="18"/>
          <w:szCs w:val="18"/>
          <w:lang/>
        </w:rPr>
        <w:t xml:space="preserve">. </w:t>
      </w:r>
    </w:p>
    <w:p w:rsidR="005F25F7" w:rsidRPr="003D5B84" w:rsidRDefault="005F25F7" w:rsidP="005F25F7">
      <w:pPr>
        <w:jc w:val="center"/>
        <w:rPr>
          <w:b/>
          <w:bCs/>
        </w:rPr>
      </w:pP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5F25F7" w:rsidRDefault="00957C11" w:rsidP="00957C11">
            <w:pPr>
              <w:spacing w:before="120"/>
              <w:rPr>
                <w:color w:val="000000"/>
                <w:sz w:val="24"/>
                <w:szCs w:val="24"/>
                <w:lang w:val="id-ID"/>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5F25F7" w:rsidRDefault="00941203" w:rsidP="00957C11">
            <w:pPr>
              <w:jc w:val="both"/>
              <w:rPr>
                <w:lang w:val="id-ID"/>
              </w:rPr>
            </w:pPr>
            <w:r w:rsidRPr="00957C11">
              <w:t>Received</w:t>
            </w:r>
          </w:p>
          <w:p w:rsidR="00941203" w:rsidRDefault="00941203" w:rsidP="00957C11">
            <w:pPr>
              <w:jc w:val="both"/>
            </w:pPr>
            <w:r>
              <w:t xml:space="preserve">Revised </w:t>
            </w:r>
          </w:p>
          <w:p w:rsidR="00941203" w:rsidRDefault="00941203" w:rsidP="00957C11">
            <w:pPr>
              <w:jc w:val="both"/>
            </w:pPr>
            <w:r>
              <w:t xml:space="preserve">Accepted </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5F25F7" w:rsidRPr="00C40409" w:rsidRDefault="005F25F7" w:rsidP="005F25F7">
            <w:pPr>
              <w:spacing w:after="200"/>
              <w:jc w:val="both"/>
              <w:rPr>
                <w:b/>
                <w:color w:val="000000"/>
                <w:sz w:val="18"/>
                <w:szCs w:val="18"/>
              </w:rPr>
            </w:pPr>
            <w:r w:rsidRPr="00C40409">
              <w:rPr>
                <w:b/>
                <w:color w:val="000000"/>
                <w:sz w:val="18"/>
                <w:szCs w:val="18"/>
              </w:rPr>
              <w:t>Background</w:t>
            </w:r>
            <w:r w:rsidRPr="00C40409">
              <w:rPr>
                <w:color w:val="000000"/>
                <w:sz w:val="18"/>
                <w:szCs w:val="18"/>
              </w:rPr>
              <w:t xml:space="preserve"> </w:t>
            </w:r>
            <w:r w:rsidRPr="00C40409">
              <w:rPr>
                <w:b/>
                <w:color w:val="000000"/>
                <w:sz w:val="18"/>
                <w:szCs w:val="18"/>
              </w:rPr>
              <w:t>:</w:t>
            </w:r>
            <w:r w:rsidRPr="00C40409">
              <w:rPr>
                <w:color w:val="000000"/>
                <w:sz w:val="18"/>
                <w:szCs w:val="18"/>
              </w:rPr>
              <w:t xml:space="preserve"> Food purchasing power is usually defined as a household's economic ability to obtain food which is determined by measuring the income allocated for food purchase, the price of food consumed, and the number of family members. More than 50% of the sub-districts in South Central Timor are vulnerable to food consumption due to their low purchasing power, thus causing low fruits and vegetables consumption. </w:t>
            </w:r>
            <w:r w:rsidRPr="00C40409">
              <w:rPr>
                <w:b/>
                <w:color w:val="000000"/>
                <w:sz w:val="18"/>
                <w:szCs w:val="18"/>
              </w:rPr>
              <w:t xml:space="preserve">Objectives: </w:t>
            </w:r>
            <w:r w:rsidRPr="00C40409">
              <w:rPr>
                <w:color w:val="000000"/>
                <w:sz w:val="18"/>
                <w:szCs w:val="18"/>
              </w:rPr>
              <w:t>To analyze the correlation between purchasing power, fruits and v</w:t>
            </w:r>
            <w:r w:rsidR="00027E76">
              <w:rPr>
                <w:color w:val="000000"/>
                <w:sz w:val="18"/>
                <w:szCs w:val="18"/>
              </w:rPr>
              <w:t xml:space="preserve">egetables consumption, </w:t>
            </w:r>
            <w:r w:rsidR="00027E76">
              <w:rPr>
                <w:color w:val="000000"/>
                <w:sz w:val="18"/>
                <w:szCs w:val="18"/>
                <w:lang w:val="id-ID"/>
              </w:rPr>
              <w:t>with</w:t>
            </w:r>
            <w:r w:rsidRPr="00C40409">
              <w:rPr>
                <w:color w:val="000000"/>
                <w:sz w:val="18"/>
                <w:szCs w:val="18"/>
              </w:rPr>
              <w:t xml:space="preserve"> nutrition status of elementary school students. </w:t>
            </w:r>
            <w:r w:rsidRPr="00C40409">
              <w:rPr>
                <w:b/>
                <w:color w:val="000000"/>
                <w:sz w:val="18"/>
                <w:szCs w:val="18"/>
              </w:rPr>
              <w:t xml:space="preserve">Methods : </w:t>
            </w:r>
            <w:r w:rsidRPr="00C40409">
              <w:rPr>
                <w:color w:val="000000"/>
                <w:sz w:val="18"/>
                <w:szCs w:val="18"/>
              </w:rPr>
              <w:t>Analytic observational using a cross sectional design. Sample size of 108</w:t>
            </w:r>
            <w:r w:rsidRPr="00C40409">
              <w:rPr>
                <w:sz w:val="18"/>
                <w:szCs w:val="18"/>
              </w:rPr>
              <w:t xml:space="preserve"> students was achieved using simple random sampling method. Independent variables are purchasing power, fruits and vegetables consumption. Dependent variable is nutrition status. Fruits and vegetables consumption data was collected using food frequency, purchasing power data was collected using questionnaires, and nutrition status was collected by calculating IMT/U. The statistics tests used were chi square test.</w:t>
            </w:r>
            <w:r w:rsidRPr="00C40409">
              <w:rPr>
                <w:color w:val="000000"/>
                <w:sz w:val="18"/>
                <w:szCs w:val="18"/>
              </w:rPr>
              <w:t xml:space="preserve"> </w:t>
            </w:r>
            <w:r w:rsidRPr="00C40409">
              <w:rPr>
                <w:b/>
                <w:color w:val="000000"/>
                <w:sz w:val="18"/>
                <w:szCs w:val="18"/>
              </w:rPr>
              <w:t xml:space="preserve">Results: </w:t>
            </w:r>
            <w:r w:rsidRPr="00C40409">
              <w:rPr>
                <w:sz w:val="18"/>
                <w:szCs w:val="18"/>
              </w:rPr>
              <w:t>The mean number of fruits and vegetables consumption of the elementary students was 0,</w:t>
            </w:r>
            <w:r w:rsidRPr="00C40409">
              <w:rPr>
                <w:sz w:val="18"/>
                <w:szCs w:val="18"/>
                <w:lang w:val="id-ID"/>
              </w:rPr>
              <w:t>36</w:t>
            </w:r>
            <w:r w:rsidRPr="00C40409">
              <w:rPr>
                <w:sz w:val="18"/>
                <w:szCs w:val="18"/>
              </w:rPr>
              <w:t>±0,</w:t>
            </w:r>
            <w:r w:rsidRPr="00C40409">
              <w:rPr>
                <w:sz w:val="18"/>
                <w:szCs w:val="18"/>
                <w:lang w:val="id-ID"/>
              </w:rPr>
              <w:t>483</w:t>
            </w:r>
            <w:r w:rsidRPr="00C40409">
              <w:rPr>
                <w:sz w:val="18"/>
                <w:szCs w:val="18"/>
              </w:rPr>
              <w:t xml:space="preserve"> and the mean number of purchasing power was </w:t>
            </w:r>
            <w:r w:rsidRPr="00C40409">
              <w:rPr>
                <w:color w:val="000000"/>
                <w:sz w:val="18"/>
                <w:szCs w:val="18"/>
              </w:rPr>
              <w:t>2,80±0,405</w:t>
            </w:r>
            <w:r w:rsidRPr="00C40409">
              <w:rPr>
                <w:sz w:val="18"/>
                <w:szCs w:val="18"/>
              </w:rPr>
              <w:t xml:space="preserve">. Bivariate study test results show a significant correlation between purchasing power and nutrition status </w:t>
            </w:r>
            <w:r w:rsidRPr="00C40409">
              <w:rPr>
                <w:color w:val="000000"/>
                <w:sz w:val="18"/>
                <w:szCs w:val="18"/>
              </w:rPr>
              <w:t>(p=0,039)</w:t>
            </w:r>
            <w:r w:rsidRPr="00C40409">
              <w:rPr>
                <w:sz w:val="18"/>
                <w:szCs w:val="18"/>
              </w:rPr>
              <w:t xml:space="preserve"> and a significant correlation between fruits and vegetables consumption and nutrition status</w:t>
            </w:r>
            <w:r w:rsidRPr="00C40409">
              <w:rPr>
                <w:color w:val="000000"/>
                <w:sz w:val="18"/>
                <w:szCs w:val="18"/>
              </w:rPr>
              <w:t xml:space="preserve"> (p=0,000).</w:t>
            </w:r>
            <w:r w:rsidRPr="00C40409">
              <w:rPr>
                <w:color w:val="000000"/>
                <w:sz w:val="18"/>
                <w:szCs w:val="18"/>
                <w:lang w:val="id-ID"/>
              </w:rPr>
              <w:t xml:space="preserve">  </w:t>
            </w:r>
            <w:r w:rsidRPr="00C40409">
              <w:rPr>
                <w:b/>
                <w:sz w:val="18"/>
                <w:szCs w:val="18"/>
              </w:rPr>
              <w:t xml:space="preserve">Conclusion : </w:t>
            </w:r>
            <w:r w:rsidRPr="00C40409">
              <w:rPr>
                <w:sz w:val="18"/>
                <w:szCs w:val="18"/>
              </w:rPr>
              <w:t>There is a correlation between purchasing power, fruits and vegetables consumption, and nutrition status in elementary school students.</w:t>
            </w:r>
            <w:r>
              <w:rPr>
                <w:b/>
                <w:color w:val="000000"/>
                <w:sz w:val="18"/>
                <w:szCs w:val="18"/>
                <w:lang w:val="id-ID"/>
              </w:rPr>
              <w:t xml:space="preserve"> </w:t>
            </w:r>
          </w:p>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027E76" w:rsidP="00941203">
            <w:pPr>
              <w:jc w:val="both"/>
              <w:rPr>
                <w:color w:val="000000"/>
                <w:sz w:val="18"/>
                <w:szCs w:val="18"/>
                <w:lang w:val="id-ID"/>
              </w:rPr>
            </w:pPr>
            <w:r>
              <w:rPr>
                <w:color w:val="000000"/>
                <w:sz w:val="18"/>
                <w:szCs w:val="18"/>
                <w:lang w:val="id-ID"/>
              </w:rPr>
              <w:t>P</w:t>
            </w:r>
            <w:r w:rsidR="0053105D" w:rsidRPr="00C40409">
              <w:rPr>
                <w:color w:val="000000"/>
                <w:sz w:val="18"/>
                <w:szCs w:val="18"/>
              </w:rPr>
              <w:t>urchasing power</w:t>
            </w:r>
          </w:p>
          <w:p w:rsidR="0053105D" w:rsidRDefault="00027E76" w:rsidP="00941203">
            <w:pPr>
              <w:jc w:val="both"/>
              <w:rPr>
                <w:color w:val="000000"/>
                <w:sz w:val="18"/>
                <w:szCs w:val="18"/>
                <w:lang w:val="id-ID"/>
              </w:rPr>
            </w:pPr>
            <w:r>
              <w:rPr>
                <w:color w:val="000000"/>
                <w:sz w:val="18"/>
                <w:szCs w:val="18"/>
                <w:lang w:val="id-ID"/>
              </w:rPr>
              <w:t>F</w:t>
            </w:r>
            <w:r w:rsidR="0053105D" w:rsidRPr="00C40409">
              <w:rPr>
                <w:color w:val="000000"/>
                <w:sz w:val="18"/>
                <w:szCs w:val="18"/>
              </w:rPr>
              <w:t>ruits and vegetables consumption</w:t>
            </w:r>
          </w:p>
          <w:p w:rsidR="0053105D" w:rsidRPr="0053105D" w:rsidRDefault="00027E76" w:rsidP="00941203">
            <w:pPr>
              <w:jc w:val="both"/>
              <w:rPr>
                <w:b/>
                <w:i/>
                <w:lang w:val="id-ID"/>
              </w:rPr>
            </w:pPr>
            <w:r>
              <w:rPr>
                <w:color w:val="000000"/>
                <w:sz w:val="18"/>
                <w:szCs w:val="18"/>
                <w:lang w:val="id-ID"/>
              </w:rPr>
              <w:t>N</w:t>
            </w:r>
            <w:r w:rsidR="0053105D" w:rsidRPr="00C40409">
              <w:rPr>
                <w:color w:val="000000"/>
                <w:sz w:val="18"/>
                <w:szCs w:val="18"/>
              </w:rPr>
              <w:t>utrition status</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091730">
            <w:pPr>
              <w:spacing w:before="120" w:after="120"/>
              <w:jc w:val="right"/>
              <w:rPr>
                <w:i/>
                <w:iCs/>
                <w:color w:val="000000"/>
                <w:sz w:val="18"/>
                <w:szCs w:val="18"/>
              </w:rPr>
            </w:pPr>
            <w:r>
              <w:rPr>
                <w:i/>
                <w:iCs/>
                <w:color w:val="000000"/>
                <w:sz w:val="18"/>
                <w:szCs w:val="18"/>
              </w:rPr>
              <w:t>Copyright © 201</w:t>
            </w:r>
            <w:r w:rsidR="00527FB8">
              <w:rPr>
                <w:i/>
                <w:iCs/>
                <w:color w:val="000000"/>
                <w:sz w:val="18"/>
                <w:szCs w:val="18"/>
              </w:rPr>
              <w:t>8</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5F25F7" w:rsidRDefault="005F25F7" w:rsidP="005F25F7">
            <w:pPr>
              <w:pStyle w:val="ListParagraph"/>
              <w:tabs>
                <w:tab w:val="left" w:pos="720"/>
              </w:tabs>
              <w:spacing w:after="0" w:line="240" w:lineRule="auto"/>
              <w:ind w:left="0"/>
              <w:rPr>
                <w:rFonts w:ascii="Times New Roman" w:hAnsi="Times New Roman"/>
                <w:sz w:val="18"/>
                <w:szCs w:val="18"/>
                <w:lang w:val="id-ID"/>
              </w:rPr>
            </w:pPr>
            <w:r>
              <w:rPr>
                <w:rFonts w:ascii="Times New Roman" w:hAnsi="Times New Roman"/>
                <w:sz w:val="18"/>
                <w:szCs w:val="18"/>
                <w:lang w:val="id-ID"/>
              </w:rPr>
              <w:t>Yohan Fallo</w:t>
            </w:r>
          </w:p>
          <w:p w:rsidR="005F25F7" w:rsidRDefault="005F25F7" w:rsidP="005F25F7">
            <w:pPr>
              <w:pStyle w:val="ListParagraph"/>
              <w:tabs>
                <w:tab w:val="left" w:pos="720"/>
              </w:tabs>
              <w:spacing w:after="0" w:line="240" w:lineRule="auto"/>
              <w:ind w:left="0"/>
              <w:rPr>
                <w:rFonts w:ascii="Times New Roman" w:eastAsia="Arial" w:hAnsi="Times New Roman"/>
                <w:sz w:val="18"/>
                <w:szCs w:val="18"/>
                <w:lang w:val="id-ID"/>
              </w:rPr>
            </w:pPr>
            <w:r w:rsidRPr="00670BB5">
              <w:rPr>
                <w:rFonts w:ascii="Times New Roman" w:hAnsi="Times New Roman"/>
                <w:sz w:val="18"/>
                <w:szCs w:val="18"/>
              </w:rPr>
              <w:t xml:space="preserve">Human Nutrition, </w:t>
            </w:r>
            <w:r w:rsidRPr="00670BB5">
              <w:rPr>
                <w:rFonts w:ascii="Times New Roman" w:eastAsia="Arial" w:hAnsi="Times New Roman"/>
                <w:sz w:val="18"/>
                <w:szCs w:val="18"/>
              </w:rPr>
              <w:t xml:space="preserve">Nutrition Science, </w:t>
            </w:r>
          </w:p>
          <w:p w:rsidR="005F25F7" w:rsidRDefault="005F25F7" w:rsidP="005F25F7">
            <w:pPr>
              <w:pStyle w:val="ListParagraph"/>
              <w:tabs>
                <w:tab w:val="left" w:pos="720"/>
              </w:tabs>
              <w:spacing w:after="0" w:line="240" w:lineRule="auto"/>
              <w:ind w:left="0"/>
              <w:rPr>
                <w:rFonts w:ascii="Times New Roman" w:hAnsi="Times New Roman"/>
                <w:sz w:val="18"/>
                <w:szCs w:val="18"/>
                <w:lang w:val="id-ID"/>
              </w:rPr>
            </w:pPr>
            <w:r w:rsidRPr="00670BB5">
              <w:rPr>
                <w:rFonts w:ascii="Times New Roman" w:eastAsia="Arial" w:hAnsi="Times New Roman"/>
                <w:sz w:val="18"/>
                <w:szCs w:val="18"/>
              </w:rPr>
              <w:t>Master Program of  Sebelas Maret</w:t>
            </w:r>
            <w:r w:rsidRPr="00670BB5">
              <w:rPr>
                <w:rFonts w:ascii="Times New Roman" w:hAnsi="Times New Roman"/>
                <w:sz w:val="18"/>
                <w:szCs w:val="18"/>
              </w:rPr>
              <w:t xml:space="preserve">, Surakarta. </w:t>
            </w:r>
          </w:p>
          <w:p w:rsidR="005F25F7" w:rsidRPr="00670BB5" w:rsidRDefault="005F25F7" w:rsidP="005F25F7">
            <w:pPr>
              <w:pStyle w:val="ListParagraph"/>
              <w:tabs>
                <w:tab w:val="left" w:pos="720"/>
              </w:tabs>
              <w:spacing w:after="0" w:line="240" w:lineRule="auto"/>
              <w:ind w:left="0"/>
              <w:rPr>
                <w:rFonts w:ascii="Times New Roman" w:hAnsi="Times New Roman"/>
                <w:sz w:val="18"/>
                <w:szCs w:val="18"/>
              </w:rPr>
            </w:pPr>
            <w:r w:rsidRPr="00670BB5">
              <w:rPr>
                <w:rFonts w:ascii="Times New Roman" w:hAnsi="Times New Roman"/>
                <w:sz w:val="18"/>
                <w:szCs w:val="18"/>
              </w:rPr>
              <w:t>Jl Ir Sutami No 36A, Jebres, Surakarta, Central Java 57126</w:t>
            </w:r>
          </w:p>
          <w:p w:rsidR="00941203" w:rsidRPr="00957C11" w:rsidRDefault="005F25F7" w:rsidP="005F25F7">
            <w:pPr>
              <w:spacing w:after="120"/>
              <w:rPr>
                <w:color w:val="000000"/>
                <w:sz w:val="18"/>
                <w:szCs w:val="18"/>
              </w:rPr>
            </w:pPr>
            <w:r>
              <w:rPr>
                <w:color w:val="000000"/>
                <w:sz w:val="18"/>
                <w:szCs w:val="18"/>
                <w:lang w:val="id-ID"/>
              </w:rPr>
              <w:t xml:space="preserve">Email :  </w:t>
            </w:r>
            <w:hyperlink r:id="rId8" w:history="1">
              <w:r w:rsidRPr="00E011DF">
                <w:rPr>
                  <w:rStyle w:val="Hyperlink"/>
                  <w:sz w:val="18"/>
                  <w:szCs w:val="18"/>
                  <w:lang w:val="id-ID"/>
                </w:rPr>
                <w:t>johan21mu@gmail.com</w:t>
              </w:r>
            </w:hyperlink>
          </w:p>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5F25F7" w:rsidRPr="002A47B3" w:rsidRDefault="005F25F7" w:rsidP="005F25F7">
      <w:pPr>
        <w:tabs>
          <w:tab w:val="left" w:pos="1134"/>
          <w:tab w:val="left" w:pos="10992"/>
          <w:tab w:val="left" w:pos="11908"/>
          <w:tab w:val="left" w:pos="12824"/>
          <w:tab w:val="left" w:pos="13740"/>
          <w:tab w:val="left" w:pos="14656"/>
        </w:tabs>
        <w:ind w:right="-1"/>
        <w:jc w:val="both"/>
        <w:rPr>
          <w:color w:val="000000"/>
        </w:rPr>
      </w:pPr>
      <w:r>
        <w:rPr>
          <w:color w:val="000000"/>
          <w:lang w:val="id-ID"/>
        </w:rPr>
        <w:tab/>
      </w:r>
      <w:r w:rsidRPr="002A47B3">
        <w:rPr>
          <w:color w:val="000000"/>
        </w:rPr>
        <w:t xml:space="preserve">The national food organization defines food security as a situation where every people in every time have social and economic access to safe and nutritious food to fulfill their consumption needs. In developing countries, food security is in decreasing condition during the past years, escpecially due to the increase of population and the discrepancy between food supply and demand (Tawari </w:t>
      </w:r>
      <w:r w:rsidRPr="002A47B3">
        <w:rPr>
          <w:i/>
          <w:color w:val="000000"/>
        </w:rPr>
        <w:t xml:space="preserve">et al., </w:t>
      </w:r>
      <w:r w:rsidRPr="002A47B3">
        <w:rPr>
          <w:color w:val="000000"/>
        </w:rPr>
        <w:t xml:space="preserve">2012, Birhane </w:t>
      </w:r>
      <w:r w:rsidRPr="002A47B3">
        <w:rPr>
          <w:i/>
          <w:color w:val="000000"/>
        </w:rPr>
        <w:t xml:space="preserve">et </w:t>
      </w:r>
      <w:r w:rsidRPr="002A47B3">
        <w:rPr>
          <w:i/>
          <w:color w:val="000000"/>
        </w:rPr>
        <w:lastRenderedPageBreak/>
        <w:t xml:space="preserve">al., </w:t>
      </w:r>
      <w:r w:rsidRPr="002A47B3">
        <w:rPr>
          <w:color w:val="000000"/>
        </w:rPr>
        <w:t xml:space="preserve">2014). Economic growth quality influences public welfare. Economic growth is usually followed by the decrease of poverty and the increase of Human Development Index (HDI). Economic issues in a family will interfere the continuity of a child's education </w:t>
      </w:r>
      <w:r w:rsidR="001714B6">
        <w:rPr>
          <w:color w:val="000000"/>
          <w:lang w:val="id-ID"/>
        </w:rPr>
        <w:t>{1]</w:t>
      </w:r>
      <w:r w:rsidRPr="002A47B3">
        <w:rPr>
          <w:color w:val="000000"/>
        </w:rPr>
        <w:t xml:space="preserve">. </w:t>
      </w:r>
    </w:p>
    <w:p w:rsidR="005F25F7" w:rsidRPr="002A47B3" w:rsidRDefault="005F25F7" w:rsidP="005F25F7">
      <w:pPr>
        <w:tabs>
          <w:tab w:val="left" w:pos="1134"/>
          <w:tab w:val="left" w:pos="7328"/>
          <w:tab w:val="left" w:pos="8244"/>
          <w:tab w:val="left" w:pos="9160"/>
          <w:tab w:val="left" w:pos="10076"/>
          <w:tab w:val="left" w:pos="10992"/>
          <w:tab w:val="left" w:pos="11908"/>
          <w:tab w:val="left" w:pos="12824"/>
          <w:tab w:val="left" w:pos="13740"/>
          <w:tab w:val="left" w:pos="14656"/>
        </w:tabs>
        <w:ind w:right="-1"/>
        <w:jc w:val="both"/>
        <w:rPr>
          <w:color w:val="000000"/>
        </w:rPr>
      </w:pPr>
      <w:r>
        <w:rPr>
          <w:color w:val="000000"/>
          <w:lang w:val="id-ID"/>
        </w:rPr>
        <w:tab/>
      </w:r>
      <w:r w:rsidRPr="002A47B3">
        <w:rPr>
          <w:color w:val="000000"/>
        </w:rPr>
        <w:t>Food purchasing power is usually defined as a household's economic ability to obtain food which is determined by measuring the income allocated for food purchase, the price of food consumed, and the number of family members. Food purchasing power depends on the level of income and the price of food consumed</w:t>
      </w:r>
      <w:r w:rsidR="001714B6">
        <w:rPr>
          <w:color w:val="000000"/>
        </w:rPr>
        <w:t xml:space="preserve"> </w:t>
      </w:r>
      <w:r w:rsidR="001714B6">
        <w:rPr>
          <w:color w:val="000000"/>
          <w:lang w:val="id-ID"/>
        </w:rPr>
        <w:t>[2]</w:t>
      </w:r>
      <w:r w:rsidRPr="002A47B3">
        <w:rPr>
          <w:color w:val="000000"/>
        </w:rPr>
        <w:t xml:space="preserve">. A middle to lower class household has a tendency to be vulnerable to food consumption. Though economic factor is not the only contributing factor, it also can influence access to food. Parents’ level of income will influence the ability of a household to access food </w:t>
      </w:r>
      <w:r w:rsidR="001714B6">
        <w:rPr>
          <w:color w:val="000000"/>
          <w:lang w:val="id-ID"/>
        </w:rPr>
        <w:t>[3]</w:t>
      </w:r>
      <w:r w:rsidRPr="002A47B3">
        <w:rPr>
          <w:color w:val="000000"/>
        </w:rPr>
        <w:t xml:space="preserve">. </w:t>
      </w:r>
    </w:p>
    <w:p w:rsidR="005F25F7" w:rsidRPr="002A47B3" w:rsidRDefault="005F25F7" w:rsidP="005F25F7">
      <w:pPr>
        <w:tabs>
          <w:tab w:val="left" w:pos="6412"/>
          <w:tab w:val="left" w:pos="7328"/>
          <w:tab w:val="left" w:pos="8244"/>
          <w:tab w:val="left" w:pos="9160"/>
          <w:tab w:val="left" w:pos="10076"/>
          <w:tab w:val="left" w:pos="10992"/>
          <w:tab w:val="left" w:pos="11908"/>
          <w:tab w:val="left" w:pos="12824"/>
          <w:tab w:val="left" w:pos="13740"/>
          <w:tab w:val="left" w:pos="14656"/>
        </w:tabs>
        <w:ind w:right="-1"/>
        <w:jc w:val="both"/>
        <w:rPr>
          <w:color w:val="000000"/>
        </w:rPr>
      </w:pPr>
      <w:r w:rsidRPr="002A47B3">
        <w:rPr>
          <w:color w:val="000000"/>
        </w:rPr>
        <w:t xml:space="preserve">According to </w:t>
      </w:r>
      <w:r w:rsidR="001714B6">
        <w:rPr>
          <w:color w:val="000000"/>
          <w:lang w:val="id-ID"/>
        </w:rPr>
        <w:t>[4]</w:t>
      </w:r>
      <w:r w:rsidRPr="002A47B3">
        <w:rPr>
          <w:color w:val="000000"/>
        </w:rPr>
        <w:t>, a country’s economic condition will decrease due to an economic crisis, thus causing lack of food consumption. According to Rencana Aksi Daerah Percepatan Pemenuhan Pangan dan Gizi (RAD-PG) of East Nusa Tenggara Province in year 2015, South Central Timor District has 32 sub-districts and more than 50% of those sub-districts are vulnerable to food consumption, this phenomena caused by society’s low purchasing power to food that led to low consumption level of vitamin sources, which are fruits and vegetables. Low income level causes an inability of a household to access various kinds of food, especially animal proteins, vitamins, and minerals sources</w:t>
      </w:r>
      <w:r w:rsidR="001714B6">
        <w:rPr>
          <w:color w:val="000000"/>
          <w:lang w:val="id-ID"/>
        </w:rPr>
        <w:t xml:space="preserve"> [5]</w:t>
      </w:r>
      <w:r w:rsidRPr="002A47B3">
        <w:rPr>
          <w:color w:val="000000"/>
        </w:rPr>
        <w:t>.</w:t>
      </w:r>
    </w:p>
    <w:p w:rsidR="005F25F7" w:rsidRPr="002A47B3" w:rsidRDefault="005F25F7" w:rsidP="005F25F7">
      <w:pPr>
        <w:tabs>
          <w:tab w:val="left" w:pos="1134"/>
          <w:tab w:val="left" w:pos="7328"/>
          <w:tab w:val="left" w:pos="8244"/>
          <w:tab w:val="left" w:pos="9160"/>
          <w:tab w:val="left" w:pos="10076"/>
          <w:tab w:val="left" w:pos="10992"/>
          <w:tab w:val="left" w:pos="11908"/>
          <w:tab w:val="left" w:pos="12824"/>
          <w:tab w:val="left" w:pos="13740"/>
          <w:tab w:val="left" w:pos="14656"/>
        </w:tabs>
        <w:ind w:right="-1"/>
        <w:jc w:val="both"/>
        <w:rPr>
          <w:color w:val="000000"/>
        </w:rPr>
      </w:pPr>
      <w:r>
        <w:rPr>
          <w:color w:val="000000"/>
          <w:lang w:val="id-ID"/>
        </w:rPr>
        <w:tab/>
      </w:r>
      <w:r w:rsidRPr="002A47B3">
        <w:rPr>
          <w:color w:val="000000"/>
        </w:rPr>
        <w:t>Besides that, the community generally hasn’t place variable food consumption as a priority. It is seen from the low proportion of a household’s expense to animal products, fruits and vegetables consumption, meanwhile the expense for carbohydrate consumption is still predominant</w:t>
      </w:r>
      <w:r w:rsidRPr="002A47B3">
        <w:rPr>
          <w:b/>
          <w:color w:val="000000"/>
        </w:rPr>
        <w:t xml:space="preserve"> </w:t>
      </w:r>
      <w:r w:rsidR="001714B6">
        <w:rPr>
          <w:color w:val="000000"/>
          <w:lang w:val="id-ID"/>
        </w:rPr>
        <w:t xml:space="preserve">[6,7]. </w:t>
      </w:r>
      <w:r w:rsidRPr="002A47B3">
        <w:rPr>
          <w:color w:val="000000"/>
        </w:rPr>
        <w:t xml:space="preserve">External factors that also influence fruits and vegetables consumption are the availability of fruits and vegetables, mother’s (parents’) education level, family income level, and </w:t>
      </w:r>
      <w:r w:rsidRPr="002A47B3">
        <w:rPr>
          <w:color w:val="000000"/>
          <w:szCs w:val="22"/>
        </w:rPr>
        <w:t>socialization media</w:t>
      </w:r>
      <w:r w:rsidR="001714B6">
        <w:rPr>
          <w:color w:val="000000"/>
          <w:szCs w:val="22"/>
          <w:lang w:val="id-ID"/>
        </w:rPr>
        <w:t xml:space="preserve"> [8]. </w:t>
      </w:r>
      <w:r w:rsidRPr="002A47B3">
        <w:rPr>
          <w:color w:val="000000"/>
          <w:szCs w:val="22"/>
        </w:rPr>
        <w:t>An adult’s fruits and vegetables consumption behavior starts from their childhood and adolescence, and the facts are that children and adolescents do not fulfill WHO’s standards of fruits and vegetables consumption, which is 400 grams per day</w:t>
      </w:r>
      <w:r w:rsidRPr="002A47B3">
        <w:rPr>
          <w:color w:val="000000"/>
        </w:rPr>
        <w:t xml:space="preserve"> </w:t>
      </w:r>
      <w:r w:rsidR="001714B6">
        <w:rPr>
          <w:color w:val="000000"/>
          <w:lang w:val="id-ID"/>
        </w:rPr>
        <w:t>[7]</w:t>
      </w:r>
      <w:r w:rsidRPr="002A47B3">
        <w:rPr>
          <w:color w:val="000000"/>
        </w:rPr>
        <w:t xml:space="preserve">. Consuming fruits and vegetables is very important for a child’s health. In developed countries, fruits and vegetables consumption is recommended as follows: children at the age 9-13 years old need a minimum of 1,5-3 cups of vegetables and 1,5-2 cups of fruits per day </w:t>
      </w:r>
      <w:r w:rsidR="001714B6">
        <w:rPr>
          <w:color w:val="000000"/>
          <w:lang w:val="id-ID"/>
        </w:rPr>
        <w:t>[9]</w:t>
      </w:r>
      <w:r w:rsidRPr="002A47B3">
        <w:rPr>
          <w:color w:val="000000"/>
        </w:rPr>
        <w:t>.</w:t>
      </w:r>
      <w:r w:rsidRPr="002A47B3">
        <w:rPr>
          <w:color w:val="000000"/>
          <w:sz w:val="24"/>
        </w:rPr>
        <w:t xml:space="preserve"> </w:t>
      </w:r>
    </w:p>
    <w:p w:rsidR="005F25F7" w:rsidRPr="003D5B84" w:rsidRDefault="005F25F7" w:rsidP="005F25F7">
      <w:pPr>
        <w:jc w:val="both"/>
      </w:pPr>
    </w:p>
    <w:p w:rsidR="005F25F7" w:rsidRPr="003D5B84" w:rsidRDefault="005F25F7" w:rsidP="005F25F7">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88233C" w:rsidRDefault="005F25F7" w:rsidP="005F25F7">
      <w:pPr>
        <w:ind w:firstLine="426"/>
        <w:jc w:val="both"/>
        <w:rPr>
          <w:b/>
          <w:bCs/>
        </w:rPr>
      </w:pPr>
      <w:r w:rsidRPr="002A47B3">
        <w:rPr>
          <w:color w:val="000000"/>
        </w:rPr>
        <w:t>This study uses analytic observational method with a cross sectional approach, in which the dependent and independent variables are measured in one time. The research was conducted in June-August 2018 at West Amanuban Sub-district Elementary Schools, South Central Timor District, East Nusa Tenggara Province. Stratified random sampling technique was used to determine the elementary school groups according to national test (NUN) results ranking: high and low. Afterwards, simple random sampling was used to determine study subjects of fifth grade students of each elementary school, thus determining 4 classes as study samples. This study used 107 students as samples, determined using purposive sampling technique. Inclusion criteria used were: fifth grade elementary school students of West Amanuban sub-district, 10-11 years old, no allergy to fruits and vegetables. Exclusion criteria used were : students absent or dropped out of school at the time span of the research. Data collected were parents’ purchasing power which were measured by household’s expenses, fruits and vegetables consumption, nutrition status, students’ weight and height. Nutrition status was classified using IMT/U with Z-score as the determining standard of nutrition status. Data collected were analyzed using univariate and bivariate analyses. Bivariate analysis used chi square test</w:t>
      </w: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5F25F7">
        <w:rPr>
          <w:b/>
          <w:bCs/>
        </w:rPr>
        <w:t xml:space="preserve"> </w:t>
      </w:r>
    </w:p>
    <w:p w:rsidR="005F25F7" w:rsidRDefault="005F25F7" w:rsidP="005F25F7">
      <w:pPr>
        <w:ind w:firstLine="426"/>
        <w:rPr>
          <w:color w:val="000000"/>
          <w:lang w:val="id-ID"/>
        </w:rPr>
      </w:pPr>
      <w:r w:rsidRPr="005F25F7">
        <w:rPr>
          <w:color w:val="000000"/>
        </w:rPr>
        <w:t xml:space="preserve">The characteristics of parents and children of the four West Amanuban sub-district elementary schools measured in this study were vocation, education, parents purchase power, and children fruits and vegetables consumption in regards to their nutrition status. </w:t>
      </w:r>
    </w:p>
    <w:p w:rsidR="005F25F7" w:rsidRPr="005F25F7" w:rsidRDefault="005F25F7" w:rsidP="005F25F7">
      <w:pPr>
        <w:ind w:firstLine="426"/>
        <w:rPr>
          <w:color w:val="000000"/>
          <w:lang w:val="id-ID"/>
        </w:rPr>
      </w:pPr>
    </w:p>
    <w:p w:rsidR="005F25F7" w:rsidRPr="005F25F7" w:rsidRDefault="005F25F7" w:rsidP="005F25F7">
      <w:pPr>
        <w:spacing w:line="360" w:lineRule="auto"/>
        <w:rPr>
          <w:rFonts w:ascii="Arial" w:hAnsi="Arial"/>
          <w:color w:val="000000"/>
          <w:lang w:val="id-ID"/>
        </w:rPr>
      </w:pPr>
      <w:r>
        <w:rPr>
          <w:rFonts w:ascii="Arial" w:hAnsi="Arial"/>
          <w:color w:val="000000"/>
          <w:lang w:val="id-ID"/>
        </w:rPr>
        <w:t xml:space="preserve">Tabel 1. </w:t>
      </w:r>
      <w:r w:rsidRPr="002A47B3">
        <w:rPr>
          <w:color w:val="000000"/>
        </w:rPr>
        <w:t>Subjects’ Characteristics</w:t>
      </w:r>
    </w:p>
    <w:tbl>
      <w:tblPr>
        <w:tblW w:w="0" w:type="auto"/>
        <w:tblInd w:w="141" w:type="dxa"/>
        <w:tblLayout w:type="fixed"/>
        <w:tblCellMar>
          <w:left w:w="0" w:type="dxa"/>
          <w:right w:w="0" w:type="dxa"/>
        </w:tblCellMar>
        <w:tblLook w:val="0000"/>
      </w:tblPr>
      <w:tblGrid>
        <w:gridCol w:w="4503"/>
        <w:gridCol w:w="850"/>
        <w:gridCol w:w="851"/>
        <w:gridCol w:w="1275"/>
      </w:tblGrid>
      <w:tr w:rsidR="005F25F7" w:rsidRPr="005F25F7" w:rsidTr="005F25F7">
        <w:tblPrEx>
          <w:tblCellMar>
            <w:top w:w="0" w:type="dxa"/>
            <w:left w:w="0" w:type="dxa"/>
            <w:bottom w:w="0" w:type="dxa"/>
            <w:right w:w="0" w:type="dxa"/>
          </w:tblCellMar>
        </w:tblPrEx>
        <w:trPr>
          <w:trHeight w:val="452"/>
        </w:trPr>
        <w:tc>
          <w:tcPr>
            <w:tcW w:w="4503" w:type="dxa"/>
            <w:tcBorders>
              <w:top w:val="single" w:sz="4" w:space="0" w:color="000000"/>
              <w:bottom w:val="single" w:sz="4" w:space="0" w:color="000000"/>
            </w:tcBorders>
            <w:tcMar>
              <w:left w:w="0" w:type="dxa"/>
              <w:right w:w="0" w:type="dxa"/>
            </w:tcMar>
          </w:tcPr>
          <w:p w:rsidR="005F25F7" w:rsidRPr="005F25F7" w:rsidRDefault="005F25F7" w:rsidP="005F25F7">
            <w:pPr>
              <w:jc w:val="center"/>
              <w:rPr>
                <w:b/>
                <w:color w:val="000000"/>
                <w:spacing w:val="-6"/>
              </w:rPr>
            </w:pPr>
            <w:r w:rsidRPr="005F25F7">
              <w:rPr>
                <w:b/>
                <w:color w:val="000000"/>
                <w:spacing w:val="-6"/>
              </w:rPr>
              <w:t>Characteristics</w:t>
            </w:r>
          </w:p>
        </w:tc>
        <w:tc>
          <w:tcPr>
            <w:tcW w:w="850" w:type="dxa"/>
            <w:tcBorders>
              <w:top w:val="single" w:sz="4" w:space="0" w:color="000000"/>
              <w:bottom w:val="single" w:sz="4" w:space="0" w:color="000000"/>
            </w:tcBorders>
            <w:tcMar>
              <w:left w:w="0" w:type="dxa"/>
              <w:right w:w="0" w:type="dxa"/>
            </w:tcMar>
          </w:tcPr>
          <w:p w:rsidR="005F25F7" w:rsidRPr="005F25F7" w:rsidRDefault="005F25F7" w:rsidP="005F25F7">
            <w:pPr>
              <w:jc w:val="center"/>
              <w:rPr>
                <w:b/>
                <w:color w:val="000000"/>
                <w:spacing w:val="-6"/>
              </w:rPr>
            </w:pPr>
            <w:r w:rsidRPr="005F25F7">
              <w:rPr>
                <w:b/>
                <w:color w:val="000000"/>
                <w:spacing w:val="-6"/>
              </w:rPr>
              <w:t>n</w:t>
            </w:r>
          </w:p>
        </w:tc>
        <w:tc>
          <w:tcPr>
            <w:tcW w:w="851" w:type="dxa"/>
            <w:tcBorders>
              <w:top w:val="single" w:sz="4" w:space="0" w:color="000000"/>
              <w:bottom w:val="single" w:sz="4" w:space="0" w:color="000000"/>
            </w:tcBorders>
            <w:tcMar>
              <w:left w:w="0" w:type="dxa"/>
              <w:right w:w="0" w:type="dxa"/>
            </w:tcMar>
          </w:tcPr>
          <w:p w:rsidR="005F25F7" w:rsidRPr="005F25F7" w:rsidRDefault="005F25F7" w:rsidP="005F25F7">
            <w:pPr>
              <w:jc w:val="center"/>
              <w:rPr>
                <w:b/>
                <w:color w:val="000000"/>
                <w:spacing w:val="-6"/>
              </w:rPr>
            </w:pPr>
            <w:r w:rsidRPr="005F25F7">
              <w:rPr>
                <w:b/>
                <w:color w:val="000000"/>
                <w:spacing w:val="-6"/>
              </w:rPr>
              <w:t>%</w:t>
            </w:r>
          </w:p>
        </w:tc>
        <w:tc>
          <w:tcPr>
            <w:tcW w:w="1275" w:type="dxa"/>
            <w:tcBorders>
              <w:top w:val="single" w:sz="4" w:space="0" w:color="000000"/>
              <w:bottom w:val="single" w:sz="4" w:space="0" w:color="000000"/>
            </w:tcBorders>
            <w:tcMar>
              <w:left w:w="0" w:type="dxa"/>
              <w:right w:w="0" w:type="dxa"/>
            </w:tcMar>
          </w:tcPr>
          <w:p w:rsidR="005F25F7" w:rsidRPr="005F25F7" w:rsidRDefault="005F25F7" w:rsidP="005F25F7">
            <w:pPr>
              <w:rPr>
                <w:b/>
                <w:color w:val="000000"/>
                <w:spacing w:val="-6"/>
              </w:rPr>
            </w:pPr>
            <w:r w:rsidRPr="005F25F7">
              <w:rPr>
                <w:b/>
                <w:color w:val="000000"/>
                <w:spacing w:val="-6"/>
              </w:rPr>
              <w:t>x̄ ± SD</w:t>
            </w:r>
          </w:p>
        </w:tc>
      </w:tr>
      <w:tr w:rsidR="005F25F7" w:rsidRPr="005F25F7" w:rsidTr="005F25F7">
        <w:tblPrEx>
          <w:tblCellMar>
            <w:top w:w="0" w:type="dxa"/>
            <w:left w:w="0" w:type="dxa"/>
            <w:bottom w:w="0" w:type="dxa"/>
            <w:right w:w="0" w:type="dxa"/>
          </w:tblCellMar>
        </w:tblPrEx>
        <w:trPr>
          <w:trHeight w:val="277"/>
        </w:trPr>
        <w:tc>
          <w:tcPr>
            <w:tcW w:w="4503" w:type="dxa"/>
            <w:tcMar>
              <w:left w:w="0" w:type="dxa"/>
              <w:right w:w="0" w:type="dxa"/>
            </w:tcMar>
          </w:tcPr>
          <w:p w:rsidR="005F25F7" w:rsidRPr="005F25F7" w:rsidRDefault="005F25F7" w:rsidP="005F25F7">
            <w:pPr>
              <w:rPr>
                <w:b/>
                <w:color w:val="000000"/>
                <w:spacing w:val="-6"/>
              </w:rPr>
            </w:pPr>
            <w:r w:rsidRPr="005F25F7">
              <w:rPr>
                <w:b/>
                <w:color w:val="000000"/>
                <w:spacing w:val="-6"/>
              </w:rPr>
              <w:t>Age</w:t>
            </w:r>
          </w:p>
        </w:tc>
        <w:tc>
          <w:tcPr>
            <w:tcW w:w="850" w:type="dxa"/>
            <w:tcMar>
              <w:left w:w="0" w:type="dxa"/>
              <w:right w:w="0" w:type="dxa"/>
            </w:tcMar>
          </w:tcPr>
          <w:p w:rsidR="005F25F7" w:rsidRPr="005F25F7" w:rsidRDefault="005F25F7" w:rsidP="005F25F7">
            <w:pPr>
              <w:jc w:val="center"/>
              <w:rPr>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rPr>
                <w:color w:val="000000"/>
                <w:spacing w:val="-6"/>
              </w:rPr>
            </w:pPr>
            <w:r w:rsidRPr="005F25F7">
              <w:rPr>
                <w:color w:val="000000"/>
                <w:spacing w:val="-6"/>
              </w:rPr>
              <w:t>11.14±0,942</w:t>
            </w: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rPr>
                <w:b/>
                <w:color w:val="000000"/>
                <w:spacing w:val="-6"/>
              </w:rPr>
            </w:pPr>
            <w:r w:rsidRPr="005F25F7">
              <w:rPr>
                <w:b/>
                <w:color w:val="000000"/>
                <w:spacing w:val="-6"/>
              </w:rPr>
              <w:t>Father’s vocation</w:t>
            </w:r>
          </w:p>
        </w:tc>
        <w:tc>
          <w:tcPr>
            <w:tcW w:w="850" w:type="dxa"/>
            <w:tcMar>
              <w:left w:w="0" w:type="dxa"/>
              <w:right w:w="0" w:type="dxa"/>
            </w:tcMar>
          </w:tcPr>
          <w:p w:rsidR="005F25F7" w:rsidRPr="005F25F7" w:rsidRDefault="005F25F7" w:rsidP="005F25F7">
            <w:pPr>
              <w:jc w:val="center"/>
              <w:rPr>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Civil-service employee (PNS)</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12</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11,1</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Entrepreneur</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23</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21,3</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Farmer</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73</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67,6</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b/>
                <w:color w:val="000000"/>
                <w:spacing w:val="-6"/>
              </w:rPr>
            </w:pPr>
            <w:r w:rsidRPr="005F25F7">
              <w:rPr>
                <w:b/>
                <w:color w:val="000000"/>
                <w:spacing w:val="-6"/>
              </w:rPr>
              <w:t>Total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108</w:t>
            </w:r>
          </w:p>
        </w:tc>
        <w:tc>
          <w:tcPr>
            <w:tcW w:w="851" w:type="dxa"/>
            <w:tcMar>
              <w:left w:w="0" w:type="dxa"/>
              <w:right w:w="0" w:type="dxa"/>
            </w:tcMar>
          </w:tcPr>
          <w:p w:rsidR="005F25F7" w:rsidRPr="005F25F7" w:rsidRDefault="005F25F7" w:rsidP="005F25F7">
            <w:pPr>
              <w:jc w:val="center"/>
              <w:rPr>
                <w:color w:val="000000"/>
                <w:spacing w:val="-6"/>
              </w:rPr>
            </w:pPr>
            <w:r w:rsidRPr="005F25F7">
              <w:rPr>
                <w:color w:val="000000"/>
                <w:spacing w:val="-6"/>
              </w:rPr>
              <w:t>100</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rPr>
                <w:b/>
                <w:color w:val="000000"/>
                <w:spacing w:val="-6"/>
              </w:rPr>
            </w:pPr>
            <w:r w:rsidRPr="005F25F7">
              <w:rPr>
                <w:b/>
                <w:color w:val="000000"/>
                <w:spacing w:val="-6"/>
              </w:rPr>
              <w:t>Mother’s vocation</w:t>
            </w:r>
          </w:p>
        </w:tc>
        <w:tc>
          <w:tcPr>
            <w:tcW w:w="850" w:type="dxa"/>
            <w:tcMar>
              <w:left w:w="0" w:type="dxa"/>
              <w:right w:w="0" w:type="dxa"/>
            </w:tcMar>
          </w:tcPr>
          <w:p w:rsidR="005F25F7" w:rsidRPr="005F25F7" w:rsidRDefault="005F25F7" w:rsidP="005F25F7">
            <w:pPr>
              <w:jc w:val="center"/>
              <w:rPr>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lastRenderedPageBreak/>
              <w:t>Civil-service employee (PNS)</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5</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4,6</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Entrepreneur</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12</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11,1</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Farmer</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0,9</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Housewife</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90</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83,3</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b/>
                <w:color w:val="000000"/>
                <w:spacing w:val="-6"/>
              </w:rPr>
            </w:pPr>
            <w:r w:rsidRPr="005F25F7">
              <w:rPr>
                <w:b/>
                <w:color w:val="000000"/>
                <w:spacing w:val="-6"/>
              </w:rPr>
              <w:t>Total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108</w:t>
            </w:r>
          </w:p>
        </w:tc>
        <w:tc>
          <w:tcPr>
            <w:tcW w:w="851" w:type="dxa"/>
            <w:tcMar>
              <w:left w:w="0" w:type="dxa"/>
              <w:right w:w="0" w:type="dxa"/>
            </w:tcMar>
          </w:tcPr>
          <w:p w:rsidR="005F25F7" w:rsidRPr="005F25F7" w:rsidRDefault="005F25F7" w:rsidP="005F25F7">
            <w:pPr>
              <w:jc w:val="center"/>
              <w:rPr>
                <w:color w:val="000000"/>
                <w:spacing w:val="-6"/>
              </w:rPr>
            </w:pPr>
            <w:r w:rsidRPr="005F25F7">
              <w:rPr>
                <w:color w:val="000000"/>
                <w:spacing w:val="-6"/>
              </w:rPr>
              <w:t>100</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rPr>
                <w:b/>
                <w:color w:val="000000"/>
                <w:spacing w:val="-6"/>
              </w:rPr>
            </w:pPr>
            <w:r w:rsidRPr="005F25F7">
              <w:rPr>
                <w:b/>
                <w:color w:val="000000"/>
                <w:spacing w:val="-6"/>
              </w:rPr>
              <w:t>Father’s education</w:t>
            </w:r>
          </w:p>
        </w:tc>
        <w:tc>
          <w:tcPr>
            <w:tcW w:w="850" w:type="dxa"/>
            <w:tcMar>
              <w:left w:w="0" w:type="dxa"/>
              <w:right w:w="0" w:type="dxa"/>
            </w:tcMar>
          </w:tcPr>
          <w:p w:rsidR="005F25F7" w:rsidRPr="005F25F7" w:rsidRDefault="005F25F7" w:rsidP="005F25F7">
            <w:pPr>
              <w:jc w:val="center"/>
              <w:rPr>
                <w:b/>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Elementary school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41</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38,0</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Junior high school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32</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29,6</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Senior high school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28</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25,9</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Diploma</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3</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3,7</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Undergraduate</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4</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3,7</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b/>
                <w:color w:val="000000"/>
                <w:spacing w:val="-6"/>
              </w:rPr>
            </w:pPr>
            <w:r w:rsidRPr="005F25F7">
              <w:rPr>
                <w:b/>
                <w:color w:val="000000"/>
                <w:spacing w:val="-6"/>
              </w:rPr>
              <w:t>Total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108</w:t>
            </w:r>
          </w:p>
        </w:tc>
        <w:tc>
          <w:tcPr>
            <w:tcW w:w="851" w:type="dxa"/>
            <w:tcMar>
              <w:left w:w="0" w:type="dxa"/>
              <w:right w:w="0" w:type="dxa"/>
            </w:tcMar>
          </w:tcPr>
          <w:p w:rsidR="005F25F7" w:rsidRPr="005F25F7" w:rsidRDefault="005F25F7" w:rsidP="005F25F7">
            <w:pPr>
              <w:jc w:val="center"/>
              <w:rPr>
                <w:color w:val="000000"/>
                <w:spacing w:val="-6"/>
              </w:rPr>
            </w:pPr>
            <w:r w:rsidRPr="005F25F7">
              <w:rPr>
                <w:color w:val="000000"/>
                <w:spacing w:val="-6"/>
              </w:rPr>
              <w:t>100</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rPr>
                <w:b/>
                <w:color w:val="000000"/>
                <w:spacing w:val="-6"/>
              </w:rPr>
            </w:pPr>
            <w:r w:rsidRPr="005F25F7">
              <w:rPr>
                <w:b/>
                <w:color w:val="000000"/>
                <w:spacing w:val="-6"/>
              </w:rPr>
              <w:t>Mother’s education</w:t>
            </w:r>
          </w:p>
        </w:tc>
        <w:tc>
          <w:tcPr>
            <w:tcW w:w="850" w:type="dxa"/>
            <w:tcMar>
              <w:left w:w="0" w:type="dxa"/>
              <w:right w:w="0" w:type="dxa"/>
            </w:tcMar>
          </w:tcPr>
          <w:p w:rsidR="005F25F7" w:rsidRPr="005F25F7" w:rsidRDefault="005F25F7" w:rsidP="005F25F7">
            <w:pPr>
              <w:jc w:val="center"/>
              <w:rPr>
                <w:b/>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Elementary school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47</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43,5</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Junior high school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29</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26,9</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Senior high school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25</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23,1</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Diploma</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3</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2,8</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Undergraduate</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4</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3,7</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b/>
                <w:color w:val="000000"/>
                <w:spacing w:val="-6"/>
              </w:rPr>
            </w:pPr>
            <w:r w:rsidRPr="005F25F7">
              <w:rPr>
                <w:b/>
                <w:color w:val="000000"/>
                <w:spacing w:val="-6"/>
              </w:rPr>
              <w:t>Total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108</w:t>
            </w:r>
          </w:p>
        </w:tc>
        <w:tc>
          <w:tcPr>
            <w:tcW w:w="851" w:type="dxa"/>
            <w:tcMar>
              <w:left w:w="0" w:type="dxa"/>
              <w:right w:w="0" w:type="dxa"/>
            </w:tcMar>
          </w:tcPr>
          <w:p w:rsidR="005F25F7" w:rsidRPr="005F25F7" w:rsidRDefault="005F25F7" w:rsidP="005F25F7">
            <w:pPr>
              <w:jc w:val="center"/>
              <w:rPr>
                <w:color w:val="000000"/>
                <w:spacing w:val="-6"/>
              </w:rPr>
            </w:pPr>
            <w:r w:rsidRPr="005F25F7">
              <w:rPr>
                <w:color w:val="000000"/>
                <w:spacing w:val="-6"/>
              </w:rPr>
              <w:t>100</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rPr>
                <w:b/>
                <w:color w:val="000000"/>
                <w:spacing w:val="-6"/>
              </w:rPr>
            </w:pPr>
            <w:r w:rsidRPr="005F25F7">
              <w:rPr>
                <w:b/>
                <w:color w:val="000000"/>
                <w:spacing w:val="-6"/>
              </w:rPr>
              <w:t>Parent’s purchasing power</w:t>
            </w:r>
          </w:p>
        </w:tc>
        <w:tc>
          <w:tcPr>
            <w:tcW w:w="850" w:type="dxa"/>
            <w:tcMar>
              <w:left w:w="0" w:type="dxa"/>
              <w:right w:w="0" w:type="dxa"/>
            </w:tcMar>
          </w:tcPr>
          <w:p w:rsidR="005F25F7" w:rsidRPr="005F25F7" w:rsidRDefault="005F25F7" w:rsidP="005F25F7">
            <w:pPr>
              <w:jc w:val="center"/>
              <w:rPr>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391"/>
        </w:trPr>
        <w:tc>
          <w:tcPr>
            <w:tcW w:w="4503" w:type="dxa"/>
            <w:tcMar>
              <w:left w:w="0" w:type="dxa"/>
              <w:right w:w="0" w:type="dxa"/>
            </w:tcMar>
          </w:tcPr>
          <w:p w:rsidR="005F25F7" w:rsidRPr="005F25F7" w:rsidRDefault="005F25F7" w:rsidP="005F25F7">
            <w:pPr>
              <w:tabs>
                <w:tab w:val="left" w:pos="1134"/>
                <w:tab w:val="left" w:pos="2694"/>
              </w:tabs>
              <w:ind w:firstLine="284"/>
              <w:rPr>
                <w:b/>
                <w:color w:val="000000"/>
              </w:rPr>
            </w:pPr>
            <w:r w:rsidRPr="005F25F7">
              <w:rPr>
                <w:color w:val="000000"/>
              </w:rPr>
              <w:t>Very high : &gt;2.000.000/ month</w:t>
            </w:r>
          </w:p>
        </w:tc>
        <w:tc>
          <w:tcPr>
            <w:tcW w:w="850" w:type="dxa"/>
            <w:tcMar>
              <w:left w:w="0" w:type="dxa"/>
              <w:right w:w="0" w:type="dxa"/>
            </w:tcMar>
          </w:tcPr>
          <w:p w:rsidR="005F25F7" w:rsidRPr="005F25F7" w:rsidRDefault="005F25F7" w:rsidP="005F25F7">
            <w:pPr>
              <w:jc w:val="center"/>
              <w:rPr>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tabs>
                <w:tab w:val="left" w:pos="2977"/>
              </w:tabs>
              <w:ind w:firstLine="284"/>
              <w:rPr>
                <w:b/>
                <w:color w:val="000000"/>
              </w:rPr>
            </w:pPr>
            <w:r w:rsidRPr="005F25F7">
              <w:rPr>
                <w:color w:val="000000"/>
              </w:rPr>
              <w:t>High : 1.000.000 s/d 2.000.000/ month</w:t>
            </w:r>
          </w:p>
        </w:tc>
        <w:tc>
          <w:tcPr>
            <w:tcW w:w="850" w:type="dxa"/>
            <w:tcMar>
              <w:left w:w="0" w:type="dxa"/>
              <w:right w:w="0" w:type="dxa"/>
            </w:tcMar>
          </w:tcPr>
          <w:p w:rsidR="005F25F7" w:rsidRPr="005F25F7" w:rsidRDefault="005F25F7" w:rsidP="005F25F7">
            <w:pPr>
              <w:jc w:val="center"/>
              <w:rPr>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tabs>
                <w:tab w:val="left" w:pos="2977"/>
              </w:tabs>
              <w:ind w:firstLine="284"/>
              <w:rPr>
                <w:color w:val="000000"/>
              </w:rPr>
            </w:pPr>
            <w:r w:rsidRPr="005F25F7">
              <w:rPr>
                <w:color w:val="000000"/>
              </w:rPr>
              <w:t>Medium :  500.000 s/d 1.000.000/ month</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26</w:t>
            </w:r>
          </w:p>
        </w:tc>
        <w:tc>
          <w:tcPr>
            <w:tcW w:w="851" w:type="dxa"/>
            <w:tcMar>
              <w:left w:w="0" w:type="dxa"/>
              <w:right w:w="0" w:type="dxa"/>
            </w:tcMar>
          </w:tcPr>
          <w:p w:rsidR="005F25F7" w:rsidRPr="005F25F7" w:rsidRDefault="005F25F7" w:rsidP="005F25F7">
            <w:pPr>
              <w:jc w:val="center"/>
              <w:rPr>
                <w:color w:val="000000"/>
                <w:spacing w:val="-6"/>
              </w:rPr>
            </w:pPr>
            <w:r w:rsidRPr="005F25F7">
              <w:rPr>
                <w:color w:val="000000"/>
                <w:spacing w:val="-6"/>
              </w:rPr>
              <w:t>24,1</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rPr>
              <w:t>Low  ≤500.000/ month</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82</w:t>
            </w:r>
          </w:p>
        </w:tc>
        <w:tc>
          <w:tcPr>
            <w:tcW w:w="851" w:type="dxa"/>
            <w:tcMar>
              <w:left w:w="0" w:type="dxa"/>
              <w:right w:w="0" w:type="dxa"/>
            </w:tcMar>
          </w:tcPr>
          <w:p w:rsidR="005F25F7" w:rsidRPr="005F25F7" w:rsidRDefault="005F25F7" w:rsidP="005F25F7">
            <w:pPr>
              <w:jc w:val="center"/>
              <w:rPr>
                <w:color w:val="000000"/>
                <w:spacing w:val="-6"/>
              </w:rPr>
            </w:pPr>
            <w:r w:rsidRPr="005F25F7">
              <w:rPr>
                <w:color w:val="000000"/>
                <w:spacing w:val="-6"/>
              </w:rPr>
              <w:t>75,9</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b/>
                <w:color w:val="000000"/>
              </w:rPr>
            </w:pPr>
            <w:r w:rsidRPr="005F25F7">
              <w:rPr>
                <w:b/>
                <w:color w:val="000000"/>
              </w:rPr>
              <w:t>Total</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108</w:t>
            </w:r>
          </w:p>
        </w:tc>
        <w:tc>
          <w:tcPr>
            <w:tcW w:w="851" w:type="dxa"/>
            <w:tcMar>
              <w:left w:w="0" w:type="dxa"/>
              <w:right w:w="0" w:type="dxa"/>
            </w:tcMar>
          </w:tcPr>
          <w:p w:rsidR="005F25F7" w:rsidRPr="005F25F7" w:rsidRDefault="005F25F7" w:rsidP="005F25F7">
            <w:pPr>
              <w:jc w:val="center"/>
              <w:rPr>
                <w:color w:val="000000"/>
                <w:spacing w:val="-6"/>
              </w:rPr>
            </w:pPr>
            <w:r w:rsidRPr="005F25F7">
              <w:rPr>
                <w:color w:val="000000"/>
                <w:spacing w:val="-6"/>
              </w:rPr>
              <w:t>100</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rPr>
                <w:b/>
                <w:color w:val="000000"/>
                <w:spacing w:val="-6"/>
              </w:rPr>
            </w:pPr>
            <w:r w:rsidRPr="005F25F7">
              <w:rPr>
                <w:b/>
                <w:color w:val="000000"/>
                <w:spacing w:val="-6"/>
              </w:rPr>
              <w:t>Fruits and vegetables consumption</w:t>
            </w:r>
          </w:p>
        </w:tc>
        <w:tc>
          <w:tcPr>
            <w:tcW w:w="850" w:type="dxa"/>
            <w:tcMar>
              <w:left w:w="0" w:type="dxa"/>
              <w:right w:w="0" w:type="dxa"/>
            </w:tcMar>
          </w:tcPr>
          <w:p w:rsidR="005F25F7" w:rsidRPr="005F25F7" w:rsidRDefault="005F25F7" w:rsidP="005F25F7">
            <w:pPr>
              <w:jc w:val="center"/>
              <w:rPr>
                <w:color w:val="000000"/>
                <w:spacing w:val="-6"/>
              </w:rPr>
            </w:pPr>
          </w:p>
        </w:tc>
        <w:tc>
          <w:tcPr>
            <w:tcW w:w="851" w:type="dxa"/>
            <w:tcMar>
              <w:left w:w="0" w:type="dxa"/>
              <w:right w:w="0" w:type="dxa"/>
            </w:tcMar>
          </w:tcPr>
          <w:p w:rsidR="005F25F7" w:rsidRPr="005F25F7" w:rsidRDefault="005F25F7" w:rsidP="005F25F7">
            <w:pPr>
              <w:jc w:val="center"/>
              <w:rPr>
                <w:b/>
                <w:color w:val="000000"/>
                <w:spacing w:val="-6"/>
              </w:rPr>
            </w:pPr>
          </w:p>
        </w:tc>
        <w:tc>
          <w:tcPr>
            <w:tcW w:w="1275" w:type="dxa"/>
            <w:tcMar>
              <w:left w:w="0" w:type="dxa"/>
              <w:right w:w="0" w:type="dxa"/>
            </w:tcMar>
          </w:tcPr>
          <w:p w:rsidR="005F25F7" w:rsidRPr="005F25F7" w:rsidRDefault="005F25F7" w:rsidP="005F25F7">
            <w:pPr>
              <w:jc w:val="center"/>
              <w:rPr>
                <w:b/>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Enough (fruits ≥2, vegetables ≥3)</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69</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63,9</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Mar>
              <w:left w:w="0" w:type="dxa"/>
              <w:right w:w="0" w:type="dxa"/>
            </w:tcMar>
          </w:tcPr>
          <w:p w:rsidR="005F25F7" w:rsidRPr="005F25F7" w:rsidRDefault="005F25F7" w:rsidP="005F25F7">
            <w:pPr>
              <w:ind w:firstLine="284"/>
              <w:rPr>
                <w:color w:val="000000"/>
                <w:spacing w:val="-6"/>
              </w:rPr>
            </w:pPr>
            <w:r w:rsidRPr="005F25F7">
              <w:rPr>
                <w:color w:val="000000"/>
                <w:spacing w:val="-6"/>
              </w:rPr>
              <w:t>Low (fruits&lt;2, vegetables&lt;3)</w:t>
            </w:r>
          </w:p>
        </w:tc>
        <w:tc>
          <w:tcPr>
            <w:tcW w:w="850" w:type="dxa"/>
            <w:tcMar>
              <w:left w:w="0" w:type="dxa"/>
              <w:right w:w="0" w:type="dxa"/>
            </w:tcMar>
          </w:tcPr>
          <w:p w:rsidR="005F25F7" w:rsidRPr="005F25F7" w:rsidRDefault="005F25F7" w:rsidP="005F25F7">
            <w:pPr>
              <w:jc w:val="center"/>
              <w:rPr>
                <w:color w:val="000000"/>
                <w:spacing w:val="-6"/>
              </w:rPr>
            </w:pPr>
            <w:r w:rsidRPr="005F25F7">
              <w:rPr>
                <w:color w:val="000000"/>
                <w:spacing w:val="-6"/>
              </w:rPr>
              <w:t>39</w:t>
            </w:r>
          </w:p>
        </w:tc>
        <w:tc>
          <w:tcPr>
            <w:tcW w:w="851" w:type="dxa"/>
            <w:tcMar>
              <w:left w:w="0" w:type="dxa"/>
              <w:right w:w="0" w:type="dxa"/>
            </w:tcMar>
          </w:tcPr>
          <w:p w:rsidR="005F25F7" w:rsidRPr="005F25F7" w:rsidRDefault="005F25F7" w:rsidP="005F25F7">
            <w:pPr>
              <w:jc w:val="center"/>
              <w:rPr>
                <w:b/>
                <w:color w:val="000000"/>
                <w:spacing w:val="-6"/>
              </w:rPr>
            </w:pPr>
            <w:r w:rsidRPr="005F25F7">
              <w:rPr>
                <w:color w:val="000000"/>
                <w:spacing w:val="-6"/>
              </w:rPr>
              <w:t>36,1</w:t>
            </w:r>
          </w:p>
        </w:tc>
        <w:tc>
          <w:tcPr>
            <w:tcW w:w="1275" w:type="dxa"/>
            <w:tcMar>
              <w:left w:w="0" w:type="dxa"/>
              <w:right w:w="0" w:type="dxa"/>
            </w:tcMar>
          </w:tcPr>
          <w:p w:rsidR="005F25F7" w:rsidRPr="005F25F7" w:rsidRDefault="005F25F7" w:rsidP="005F25F7">
            <w:pPr>
              <w:jc w:val="center"/>
              <w:rPr>
                <w:color w:val="000000"/>
                <w:spacing w:val="-6"/>
              </w:rPr>
            </w:pPr>
          </w:p>
        </w:tc>
      </w:tr>
      <w:tr w:rsidR="005F25F7" w:rsidRPr="005F25F7" w:rsidTr="005F25F7">
        <w:tblPrEx>
          <w:tblCellMar>
            <w:top w:w="0" w:type="dxa"/>
            <w:left w:w="0" w:type="dxa"/>
            <w:bottom w:w="0" w:type="dxa"/>
            <w:right w:w="0" w:type="dxa"/>
          </w:tblCellMar>
        </w:tblPrEx>
        <w:trPr>
          <w:trHeight w:val="252"/>
        </w:trPr>
        <w:tc>
          <w:tcPr>
            <w:tcW w:w="4503" w:type="dxa"/>
            <w:tcBorders>
              <w:bottom w:val="single" w:sz="4" w:space="0" w:color="000000"/>
            </w:tcBorders>
            <w:tcMar>
              <w:left w:w="0" w:type="dxa"/>
              <w:right w:w="0" w:type="dxa"/>
            </w:tcMar>
          </w:tcPr>
          <w:p w:rsidR="005F25F7" w:rsidRPr="005F25F7" w:rsidRDefault="005F25F7" w:rsidP="005F25F7">
            <w:pPr>
              <w:ind w:firstLine="284"/>
              <w:rPr>
                <w:b/>
                <w:color w:val="000000"/>
                <w:spacing w:val="-6"/>
              </w:rPr>
            </w:pPr>
            <w:r w:rsidRPr="005F25F7">
              <w:rPr>
                <w:b/>
                <w:color w:val="000000"/>
                <w:spacing w:val="-6"/>
              </w:rPr>
              <w:t>Total</w:t>
            </w:r>
          </w:p>
        </w:tc>
        <w:tc>
          <w:tcPr>
            <w:tcW w:w="850" w:type="dxa"/>
            <w:tcBorders>
              <w:bottom w:val="single" w:sz="4" w:space="0" w:color="000000"/>
            </w:tcBorders>
            <w:tcMar>
              <w:left w:w="0" w:type="dxa"/>
              <w:right w:w="0" w:type="dxa"/>
            </w:tcMar>
          </w:tcPr>
          <w:p w:rsidR="005F25F7" w:rsidRPr="005F25F7" w:rsidRDefault="005F25F7" w:rsidP="005F25F7">
            <w:pPr>
              <w:jc w:val="center"/>
              <w:rPr>
                <w:color w:val="000000"/>
                <w:spacing w:val="-6"/>
              </w:rPr>
            </w:pPr>
            <w:r w:rsidRPr="005F25F7">
              <w:rPr>
                <w:color w:val="000000"/>
                <w:spacing w:val="-6"/>
              </w:rPr>
              <w:t>108</w:t>
            </w:r>
          </w:p>
        </w:tc>
        <w:tc>
          <w:tcPr>
            <w:tcW w:w="851" w:type="dxa"/>
            <w:tcBorders>
              <w:bottom w:val="single" w:sz="4" w:space="0" w:color="000000"/>
            </w:tcBorders>
            <w:tcMar>
              <w:left w:w="0" w:type="dxa"/>
              <w:right w:w="0" w:type="dxa"/>
            </w:tcMar>
          </w:tcPr>
          <w:p w:rsidR="005F25F7" w:rsidRPr="005F25F7" w:rsidRDefault="005F25F7" w:rsidP="005F25F7">
            <w:pPr>
              <w:jc w:val="center"/>
              <w:rPr>
                <w:color w:val="000000"/>
                <w:spacing w:val="-6"/>
              </w:rPr>
            </w:pPr>
            <w:r w:rsidRPr="005F25F7">
              <w:rPr>
                <w:color w:val="000000"/>
                <w:spacing w:val="-6"/>
              </w:rPr>
              <w:t>100</w:t>
            </w:r>
          </w:p>
        </w:tc>
        <w:tc>
          <w:tcPr>
            <w:tcW w:w="1275" w:type="dxa"/>
            <w:tcBorders>
              <w:bottom w:val="single" w:sz="4" w:space="0" w:color="000000"/>
            </w:tcBorders>
            <w:tcMar>
              <w:left w:w="0" w:type="dxa"/>
              <w:right w:w="0" w:type="dxa"/>
            </w:tcMar>
          </w:tcPr>
          <w:p w:rsidR="005F25F7" w:rsidRPr="005F25F7" w:rsidRDefault="005F25F7" w:rsidP="005F25F7">
            <w:pPr>
              <w:jc w:val="center"/>
              <w:rPr>
                <w:color w:val="000000"/>
                <w:spacing w:val="-6"/>
              </w:rPr>
            </w:pPr>
          </w:p>
        </w:tc>
      </w:tr>
    </w:tbl>
    <w:p w:rsidR="005F25F7" w:rsidRDefault="005F25F7" w:rsidP="005F25F7">
      <w:pPr>
        <w:spacing w:line="360" w:lineRule="auto"/>
        <w:ind w:right="6520"/>
        <w:jc w:val="both"/>
        <w:rPr>
          <w:color w:val="000000"/>
          <w:lang w:val="id-ID"/>
        </w:rPr>
      </w:pPr>
      <w:r w:rsidRPr="005D3587">
        <w:rPr>
          <w:color w:val="000000"/>
        </w:rPr>
        <w:t xml:space="preserve">Source: </w:t>
      </w:r>
      <w:r>
        <w:rPr>
          <w:color w:val="000000"/>
        </w:rPr>
        <w:t>Primary</w:t>
      </w:r>
      <w:r>
        <w:rPr>
          <w:color w:val="000000"/>
          <w:lang w:val="id-ID"/>
        </w:rPr>
        <w:t xml:space="preserve"> </w:t>
      </w:r>
      <w:r w:rsidRPr="005D3587">
        <w:rPr>
          <w:color w:val="000000"/>
        </w:rPr>
        <w:t>data</w:t>
      </w:r>
      <w:r w:rsidRPr="005D3587">
        <w:rPr>
          <w:color w:val="000000"/>
          <w:lang w:val="id-ID"/>
        </w:rPr>
        <w:t xml:space="preserve"> 2018</w:t>
      </w:r>
    </w:p>
    <w:p w:rsidR="005F25F7" w:rsidRPr="002A47B3" w:rsidRDefault="005F25F7" w:rsidP="005F25F7">
      <w:pPr>
        <w:ind w:firstLine="360"/>
        <w:jc w:val="both"/>
        <w:rPr>
          <w:color w:val="000000"/>
        </w:rPr>
      </w:pPr>
      <w:r w:rsidRPr="002A47B3">
        <w:rPr>
          <w:color w:val="000000"/>
        </w:rPr>
        <w:t>According to table 1, study subjects are 9-14 years old elementary school students and their parents. Subjects’ characteristics show that 12 fathers work as civil-service employees (11,1%), 23 fathers (21,3%) as entrepreneurs, 73 fathers (67,6%) as farmers, meanwhile for the mothers, 5 mothers (4,6%) work as civil-service employees, 12 mothers (11,1%) as entrepreneurs, 1 mother (0,9%) as a farmer, and 90 mothers (83,3%) as housewives. These results show that most of the students’ parents work as farmers and housewives.</w:t>
      </w:r>
    </w:p>
    <w:p w:rsidR="005F25F7" w:rsidRPr="002A47B3" w:rsidRDefault="005F25F7" w:rsidP="005F25F7">
      <w:pPr>
        <w:ind w:firstLine="360"/>
        <w:jc w:val="both"/>
        <w:rPr>
          <w:color w:val="000000"/>
        </w:rPr>
      </w:pPr>
      <w:r w:rsidRPr="002A47B3">
        <w:rPr>
          <w:color w:val="000000"/>
        </w:rPr>
        <w:t>Fathers’ education levels are as follows: Elementary school 41 fathers (38,0%), Junior high school 32 fathers (29,6%), Senior high school 28 fathers (25,9%), Diploma 3 fathers (3,7%), Undergraduate 4 fathers (3,7%), while the mothers: Elementary school 47 mothers (43,5%), Junior high school 29 mothers (26,9%), Senior high school 25 mothers (23,1%), Diploma 3 mothers (2,8%), Undergraduate 4 mothers (3,7%). Most parents’ education levels are elementary school.</w:t>
      </w:r>
    </w:p>
    <w:p w:rsidR="005F25F7" w:rsidRDefault="005F25F7" w:rsidP="005F25F7">
      <w:pPr>
        <w:ind w:firstLine="360"/>
        <w:jc w:val="both"/>
        <w:rPr>
          <w:color w:val="000000"/>
          <w:spacing w:val="-6"/>
          <w:lang w:val="id-ID"/>
        </w:rPr>
      </w:pPr>
      <w:r w:rsidRPr="002A47B3">
        <w:rPr>
          <w:color w:val="000000"/>
        </w:rPr>
        <w:t xml:space="preserve">Medium purchasing power (500.000 - 1.000.000) 26 parents (24,1%), low (&lt; 500.000) 82 parents (75,9%). Research data show that parents’ purchasing power in West Amanuban sub-district is low due to a very low income level. Children’s fruits and vegetables consumption in West Amanuban sub-district are as follows: enough </w:t>
      </w:r>
      <w:r w:rsidRPr="002A47B3">
        <w:rPr>
          <w:color w:val="000000"/>
          <w:spacing w:val="-6"/>
        </w:rPr>
        <w:t>(fruits ≥2, vegetables ≥3) 69 children (63,9%) and low (fruits&lt;2, vegetables&lt;3) 39 children (36,1%). The data shows that the children have enough fruits and vegetables consumption, because most parents work as farmers, thus they plant fruits and vegetables for s</w:t>
      </w:r>
      <w:r>
        <w:rPr>
          <w:color w:val="000000"/>
          <w:spacing w:val="-6"/>
        </w:rPr>
        <w:t>elling and also for consumption</w:t>
      </w:r>
    </w:p>
    <w:p w:rsidR="00A37E1C" w:rsidRDefault="00A37E1C" w:rsidP="005F25F7">
      <w:pPr>
        <w:jc w:val="both"/>
        <w:rPr>
          <w:b/>
          <w:color w:val="000000"/>
          <w:lang w:val="id-ID"/>
        </w:rPr>
      </w:pPr>
    </w:p>
    <w:p w:rsidR="00A37E1C" w:rsidRDefault="00A37E1C" w:rsidP="005F25F7">
      <w:pPr>
        <w:jc w:val="both"/>
        <w:rPr>
          <w:b/>
          <w:color w:val="000000"/>
          <w:lang w:val="id-ID"/>
        </w:rPr>
      </w:pPr>
    </w:p>
    <w:p w:rsidR="00A37E1C" w:rsidRDefault="00A37E1C" w:rsidP="005F25F7">
      <w:pPr>
        <w:jc w:val="both"/>
        <w:rPr>
          <w:b/>
          <w:color w:val="000000"/>
          <w:lang w:val="id-ID"/>
        </w:rPr>
      </w:pPr>
    </w:p>
    <w:p w:rsidR="00A37E1C" w:rsidRDefault="00A37E1C" w:rsidP="005F25F7">
      <w:pPr>
        <w:jc w:val="both"/>
        <w:rPr>
          <w:b/>
          <w:color w:val="000000"/>
          <w:lang w:val="id-ID"/>
        </w:rPr>
      </w:pPr>
    </w:p>
    <w:p w:rsidR="00A37E1C" w:rsidRDefault="00A37E1C" w:rsidP="005F25F7">
      <w:pPr>
        <w:jc w:val="both"/>
        <w:rPr>
          <w:b/>
          <w:color w:val="000000"/>
          <w:lang w:val="id-ID"/>
        </w:rPr>
      </w:pPr>
    </w:p>
    <w:p w:rsidR="00A37E1C" w:rsidRDefault="00A37E1C" w:rsidP="005F25F7">
      <w:pPr>
        <w:jc w:val="both"/>
        <w:rPr>
          <w:b/>
          <w:color w:val="000000"/>
          <w:lang w:val="id-ID"/>
        </w:rPr>
      </w:pPr>
    </w:p>
    <w:p w:rsidR="00A37E1C" w:rsidRDefault="00A37E1C" w:rsidP="005F25F7">
      <w:pPr>
        <w:jc w:val="both"/>
        <w:rPr>
          <w:b/>
          <w:color w:val="000000"/>
          <w:lang w:val="id-ID"/>
        </w:rPr>
      </w:pPr>
    </w:p>
    <w:p w:rsidR="00A37E1C" w:rsidRDefault="00A37E1C" w:rsidP="005F25F7">
      <w:pPr>
        <w:jc w:val="both"/>
        <w:rPr>
          <w:b/>
          <w:color w:val="000000"/>
          <w:lang w:val="id-ID"/>
        </w:rPr>
      </w:pPr>
    </w:p>
    <w:p w:rsidR="00A37E1C" w:rsidRDefault="00A37E1C" w:rsidP="005F25F7">
      <w:pPr>
        <w:jc w:val="both"/>
        <w:rPr>
          <w:b/>
          <w:color w:val="000000"/>
          <w:lang w:val="id-ID"/>
        </w:rPr>
      </w:pPr>
    </w:p>
    <w:p w:rsidR="005F25F7" w:rsidRDefault="005F25F7" w:rsidP="005F25F7">
      <w:pPr>
        <w:jc w:val="both"/>
        <w:rPr>
          <w:b/>
          <w:color w:val="000000"/>
          <w:lang w:val="id-ID"/>
        </w:rPr>
      </w:pPr>
      <w:r w:rsidRPr="002A47B3">
        <w:rPr>
          <w:b/>
          <w:color w:val="000000"/>
        </w:rPr>
        <w:lastRenderedPageBreak/>
        <w:t xml:space="preserve">The correlation between purchasing power, fruits and vegetables consumption, and elementary school students’ nutrition status </w:t>
      </w:r>
    </w:p>
    <w:p w:rsidR="005F25F7" w:rsidRPr="005F25F7" w:rsidRDefault="005F25F7" w:rsidP="005F25F7">
      <w:pPr>
        <w:jc w:val="both"/>
        <w:rPr>
          <w:b/>
          <w:color w:val="000000"/>
          <w:lang w:val="id-ID"/>
        </w:rPr>
      </w:pPr>
    </w:p>
    <w:p w:rsidR="005F25F7" w:rsidRPr="005F25F7" w:rsidRDefault="005F25F7" w:rsidP="005F25F7">
      <w:pPr>
        <w:jc w:val="both"/>
        <w:rPr>
          <w:color w:val="000000"/>
          <w:spacing w:val="-6"/>
          <w:lang w:val="id-ID"/>
        </w:rPr>
      </w:pPr>
      <w:r w:rsidRPr="002A47B3">
        <w:rPr>
          <w:color w:val="000000"/>
        </w:rPr>
        <w:t>Table 2. The correlation between purchasing power, fruits and vegetables consumption, and nutrition status</w:t>
      </w:r>
    </w:p>
    <w:tbl>
      <w:tblPr>
        <w:tblW w:w="0" w:type="auto"/>
        <w:tblLayout w:type="fixed"/>
        <w:tblCellMar>
          <w:left w:w="0" w:type="dxa"/>
          <w:right w:w="0" w:type="dxa"/>
        </w:tblCellMar>
        <w:tblLook w:val="0000"/>
      </w:tblPr>
      <w:tblGrid>
        <w:gridCol w:w="3260"/>
        <w:gridCol w:w="992"/>
        <w:gridCol w:w="993"/>
        <w:gridCol w:w="1275"/>
        <w:gridCol w:w="993"/>
        <w:gridCol w:w="1134"/>
      </w:tblGrid>
      <w:tr w:rsidR="005B6F8B" w:rsidRPr="002A47B3" w:rsidTr="005B6F8B">
        <w:tblPrEx>
          <w:tblCellMar>
            <w:top w:w="0" w:type="dxa"/>
            <w:left w:w="0" w:type="dxa"/>
            <w:bottom w:w="0" w:type="dxa"/>
            <w:right w:w="0" w:type="dxa"/>
          </w:tblCellMar>
        </w:tblPrEx>
        <w:trPr>
          <w:cantSplit/>
          <w:trHeight w:val="252"/>
        </w:trPr>
        <w:tc>
          <w:tcPr>
            <w:tcW w:w="3260" w:type="dxa"/>
            <w:vMerge w:val="restart"/>
            <w:tcBorders>
              <w:top w:val="single" w:sz="8" w:space="0" w:color="000000"/>
              <w:bottom w:val="single" w:sz="4" w:space="0" w:color="000000"/>
            </w:tcBorders>
            <w:tcMar>
              <w:left w:w="0" w:type="dxa"/>
              <w:right w:w="0" w:type="dxa"/>
            </w:tcMar>
            <w:vAlign w:val="center"/>
          </w:tcPr>
          <w:p w:rsidR="005F25F7" w:rsidRPr="002A47B3" w:rsidRDefault="005F25F7" w:rsidP="009C0577">
            <w:pPr>
              <w:jc w:val="both"/>
              <w:rPr>
                <w:b/>
                <w:color w:val="000000"/>
                <w:spacing w:val="-6"/>
              </w:rPr>
            </w:pPr>
            <w:r w:rsidRPr="002A47B3">
              <w:rPr>
                <w:b/>
                <w:color w:val="000000"/>
                <w:spacing w:val="-6"/>
              </w:rPr>
              <w:t>Variable</w:t>
            </w:r>
          </w:p>
        </w:tc>
        <w:tc>
          <w:tcPr>
            <w:tcW w:w="1985" w:type="dxa"/>
            <w:gridSpan w:val="2"/>
            <w:tcBorders>
              <w:top w:val="single" w:sz="8" w:space="0" w:color="000000"/>
              <w:bottom w:val="single" w:sz="8" w:space="0" w:color="000000"/>
            </w:tcBorders>
            <w:tcMar>
              <w:left w:w="0" w:type="dxa"/>
              <w:right w:w="0" w:type="dxa"/>
            </w:tcMar>
            <w:vAlign w:val="center"/>
          </w:tcPr>
          <w:p w:rsidR="005F25F7" w:rsidRPr="002A47B3" w:rsidRDefault="005F25F7" w:rsidP="009C0577">
            <w:pPr>
              <w:jc w:val="both"/>
              <w:rPr>
                <w:b/>
                <w:color w:val="000000"/>
                <w:spacing w:val="-6"/>
              </w:rPr>
            </w:pPr>
            <w:r w:rsidRPr="002A47B3">
              <w:rPr>
                <w:b/>
                <w:color w:val="000000"/>
                <w:spacing w:val="-6"/>
              </w:rPr>
              <w:t>Nutrition status [n(%)]</w:t>
            </w:r>
          </w:p>
        </w:tc>
        <w:tc>
          <w:tcPr>
            <w:tcW w:w="1275" w:type="dxa"/>
            <w:tcBorders>
              <w:top w:val="single" w:sz="8" w:space="0" w:color="000000"/>
              <w:bottom w:val="single" w:sz="8" w:space="0" w:color="000000"/>
            </w:tcBorders>
            <w:tcMar>
              <w:left w:w="0" w:type="dxa"/>
              <w:right w:w="0" w:type="dxa"/>
            </w:tcMar>
            <w:vAlign w:val="center"/>
          </w:tcPr>
          <w:p w:rsidR="005F25F7" w:rsidRPr="002A47B3" w:rsidRDefault="005F25F7" w:rsidP="009C0577">
            <w:pPr>
              <w:jc w:val="both"/>
              <w:rPr>
                <w:b/>
                <w:color w:val="000000"/>
                <w:spacing w:val="-6"/>
              </w:rPr>
            </w:pPr>
          </w:p>
        </w:tc>
        <w:tc>
          <w:tcPr>
            <w:tcW w:w="993" w:type="dxa"/>
            <w:vMerge w:val="restart"/>
            <w:tcBorders>
              <w:top w:val="single" w:sz="8" w:space="0" w:color="000000"/>
              <w:bottom w:val="single" w:sz="4" w:space="0" w:color="000000"/>
            </w:tcBorders>
            <w:tcMar>
              <w:left w:w="0" w:type="dxa"/>
              <w:right w:w="0" w:type="dxa"/>
            </w:tcMar>
            <w:vAlign w:val="center"/>
          </w:tcPr>
          <w:p w:rsidR="005F25F7" w:rsidRPr="002A47B3" w:rsidRDefault="005F25F7" w:rsidP="009C0577">
            <w:pPr>
              <w:jc w:val="both"/>
              <w:rPr>
                <w:b/>
                <w:i/>
                <w:color w:val="000000"/>
                <w:spacing w:val="-6"/>
              </w:rPr>
            </w:pPr>
            <w:r w:rsidRPr="002A47B3">
              <w:rPr>
                <w:b/>
                <w:color w:val="000000"/>
                <w:spacing w:val="-6"/>
              </w:rPr>
              <w:t>Total</w:t>
            </w:r>
          </w:p>
        </w:tc>
        <w:tc>
          <w:tcPr>
            <w:tcW w:w="1134" w:type="dxa"/>
            <w:vMerge w:val="restart"/>
            <w:tcBorders>
              <w:top w:val="single" w:sz="8" w:space="0" w:color="000000"/>
              <w:bottom w:val="single" w:sz="4" w:space="0" w:color="000000"/>
            </w:tcBorders>
            <w:tcMar>
              <w:left w:w="0" w:type="dxa"/>
              <w:right w:w="0" w:type="dxa"/>
            </w:tcMar>
            <w:vAlign w:val="center"/>
          </w:tcPr>
          <w:p w:rsidR="005F25F7" w:rsidRPr="002A47B3" w:rsidRDefault="005F25F7" w:rsidP="009C0577">
            <w:pPr>
              <w:jc w:val="both"/>
              <w:rPr>
                <w:b/>
                <w:i/>
                <w:color w:val="000000"/>
                <w:spacing w:val="-6"/>
              </w:rPr>
            </w:pPr>
            <w:r w:rsidRPr="002A47B3">
              <w:rPr>
                <w:b/>
                <w:i/>
                <w:color w:val="000000"/>
                <w:spacing w:val="-6"/>
              </w:rPr>
              <w:t>p-value</w:t>
            </w:r>
          </w:p>
        </w:tc>
      </w:tr>
      <w:tr w:rsidR="005B6F8B" w:rsidRPr="002A47B3" w:rsidTr="005B6F8B">
        <w:tblPrEx>
          <w:tblCellMar>
            <w:top w:w="0" w:type="dxa"/>
            <w:left w:w="0" w:type="dxa"/>
            <w:bottom w:w="0" w:type="dxa"/>
            <w:right w:w="0" w:type="dxa"/>
          </w:tblCellMar>
        </w:tblPrEx>
        <w:trPr>
          <w:cantSplit/>
          <w:trHeight w:val="553"/>
        </w:trPr>
        <w:tc>
          <w:tcPr>
            <w:tcW w:w="3260" w:type="dxa"/>
            <w:vMerge/>
            <w:tcBorders>
              <w:top w:val="single" w:sz="4" w:space="0" w:color="000000"/>
              <w:bottom w:val="single" w:sz="4" w:space="0" w:color="000000"/>
            </w:tcBorders>
            <w:tcMar>
              <w:left w:w="0" w:type="dxa"/>
              <w:right w:w="0" w:type="dxa"/>
            </w:tcMar>
          </w:tcPr>
          <w:p w:rsidR="005F25F7" w:rsidRPr="002A47B3" w:rsidRDefault="005F25F7" w:rsidP="009C0577">
            <w:pPr>
              <w:jc w:val="both"/>
              <w:rPr>
                <w:color w:val="000000"/>
              </w:rPr>
            </w:pPr>
          </w:p>
        </w:tc>
        <w:tc>
          <w:tcPr>
            <w:tcW w:w="992" w:type="dxa"/>
            <w:tcBorders>
              <w:bottom w:val="single" w:sz="4" w:space="0" w:color="000000"/>
            </w:tcBorders>
            <w:tcMar>
              <w:left w:w="0" w:type="dxa"/>
              <w:right w:w="0" w:type="dxa"/>
            </w:tcMar>
            <w:vAlign w:val="center"/>
          </w:tcPr>
          <w:p w:rsidR="005F25F7" w:rsidRPr="002A47B3" w:rsidRDefault="005F25F7" w:rsidP="009C0577">
            <w:pPr>
              <w:jc w:val="both"/>
              <w:rPr>
                <w:b/>
                <w:color w:val="000000"/>
                <w:spacing w:val="-6"/>
              </w:rPr>
            </w:pPr>
            <w:r w:rsidRPr="002A47B3">
              <w:rPr>
                <w:b/>
                <w:color w:val="000000"/>
                <w:spacing w:val="-6"/>
              </w:rPr>
              <w:t>Very thin</w:t>
            </w:r>
          </w:p>
        </w:tc>
        <w:tc>
          <w:tcPr>
            <w:tcW w:w="993" w:type="dxa"/>
            <w:tcBorders>
              <w:bottom w:val="single" w:sz="4" w:space="0" w:color="000000"/>
            </w:tcBorders>
            <w:tcMar>
              <w:left w:w="0" w:type="dxa"/>
              <w:right w:w="0" w:type="dxa"/>
            </w:tcMar>
            <w:vAlign w:val="center"/>
          </w:tcPr>
          <w:p w:rsidR="005F25F7" w:rsidRPr="002A47B3" w:rsidRDefault="005F25F7" w:rsidP="009C0577">
            <w:pPr>
              <w:jc w:val="both"/>
              <w:rPr>
                <w:b/>
                <w:color w:val="000000"/>
                <w:spacing w:val="-6"/>
              </w:rPr>
            </w:pPr>
            <w:r w:rsidRPr="002A47B3">
              <w:rPr>
                <w:b/>
                <w:color w:val="000000"/>
                <w:spacing w:val="-6"/>
              </w:rPr>
              <w:t>Thin</w:t>
            </w:r>
          </w:p>
        </w:tc>
        <w:tc>
          <w:tcPr>
            <w:tcW w:w="1275" w:type="dxa"/>
            <w:tcBorders>
              <w:bottom w:val="single" w:sz="4" w:space="0" w:color="000000"/>
            </w:tcBorders>
            <w:tcMar>
              <w:left w:w="0" w:type="dxa"/>
              <w:right w:w="0" w:type="dxa"/>
            </w:tcMar>
            <w:vAlign w:val="center"/>
          </w:tcPr>
          <w:p w:rsidR="005F25F7" w:rsidRPr="002A47B3" w:rsidRDefault="005F25F7" w:rsidP="009C0577">
            <w:pPr>
              <w:jc w:val="both"/>
              <w:rPr>
                <w:b/>
                <w:color w:val="000000"/>
                <w:spacing w:val="-6"/>
              </w:rPr>
            </w:pPr>
            <w:r w:rsidRPr="002A47B3">
              <w:rPr>
                <w:b/>
                <w:color w:val="000000"/>
                <w:spacing w:val="-6"/>
              </w:rPr>
              <w:t>normal</w:t>
            </w:r>
          </w:p>
        </w:tc>
        <w:tc>
          <w:tcPr>
            <w:tcW w:w="993" w:type="dxa"/>
            <w:vMerge/>
            <w:tcBorders>
              <w:top w:val="single" w:sz="4" w:space="0" w:color="000000"/>
              <w:bottom w:val="single" w:sz="4" w:space="0" w:color="000000"/>
            </w:tcBorders>
            <w:tcMar>
              <w:left w:w="0" w:type="dxa"/>
              <w:right w:w="0" w:type="dxa"/>
            </w:tcMar>
          </w:tcPr>
          <w:p w:rsidR="005F25F7" w:rsidRPr="002A47B3" w:rsidRDefault="005F25F7" w:rsidP="009C0577">
            <w:pPr>
              <w:jc w:val="both"/>
              <w:rPr>
                <w:color w:val="000000"/>
              </w:rPr>
            </w:pPr>
          </w:p>
        </w:tc>
        <w:tc>
          <w:tcPr>
            <w:tcW w:w="1134" w:type="dxa"/>
            <w:vMerge/>
            <w:tcBorders>
              <w:top w:val="single" w:sz="4" w:space="0" w:color="000000"/>
              <w:bottom w:val="single" w:sz="4" w:space="0" w:color="000000"/>
            </w:tcBorders>
            <w:tcMar>
              <w:left w:w="0" w:type="dxa"/>
              <w:right w:w="0" w:type="dxa"/>
            </w:tcMar>
          </w:tcPr>
          <w:p w:rsidR="005F25F7" w:rsidRPr="002A47B3" w:rsidRDefault="005F25F7" w:rsidP="009C0577">
            <w:pPr>
              <w:jc w:val="both"/>
              <w:rPr>
                <w:color w:val="000000"/>
              </w:rPr>
            </w:pPr>
          </w:p>
        </w:tc>
      </w:tr>
      <w:tr w:rsidR="005B6F8B" w:rsidRPr="002A47B3" w:rsidTr="005B6F8B">
        <w:tblPrEx>
          <w:tblCellMar>
            <w:top w:w="0" w:type="dxa"/>
            <w:left w:w="0" w:type="dxa"/>
            <w:bottom w:w="0" w:type="dxa"/>
            <w:right w:w="0" w:type="dxa"/>
          </w:tblCellMar>
        </w:tblPrEx>
        <w:trPr>
          <w:trHeight w:val="252"/>
        </w:trPr>
        <w:tc>
          <w:tcPr>
            <w:tcW w:w="3260" w:type="dxa"/>
            <w:tcBorders>
              <w:top w:val="single" w:sz="4" w:space="0" w:color="000000"/>
            </w:tcBorders>
            <w:tcMar>
              <w:left w:w="0" w:type="dxa"/>
              <w:right w:w="0" w:type="dxa"/>
            </w:tcMar>
            <w:vAlign w:val="center"/>
          </w:tcPr>
          <w:p w:rsidR="005F25F7" w:rsidRPr="002A47B3" w:rsidRDefault="005F25F7" w:rsidP="009C0577">
            <w:pPr>
              <w:jc w:val="both"/>
              <w:rPr>
                <w:b/>
                <w:color w:val="000000"/>
                <w:spacing w:val="-6"/>
              </w:rPr>
            </w:pPr>
            <w:r w:rsidRPr="002A47B3">
              <w:rPr>
                <w:b/>
                <w:color w:val="000000"/>
                <w:spacing w:val="-6"/>
              </w:rPr>
              <w:t>Purchasing power</w:t>
            </w:r>
          </w:p>
        </w:tc>
        <w:tc>
          <w:tcPr>
            <w:tcW w:w="992" w:type="dxa"/>
            <w:tcBorders>
              <w:top w:val="single" w:sz="4" w:space="0" w:color="000000"/>
            </w:tcBorders>
            <w:tcMar>
              <w:left w:w="0" w:type="dxa"/>
              <w:right w:w="0" w:type="dxa"/>
            </w:tcMar>
            <w:vAlign w:val="center"/>
          </w:tcPr>
          <w:p w:rsidR="005F25F7" w:rsidRPr="002A47B3" w:rsidRDefault="005F25F7" w:rsidP="009C0577">
            <w:pPr>
              <w:jc w:val="both"/>
              <w:rPr>
                <w:b/>
                <w:color w:val="000000"/>
                <w:spacing w:val="-6"/>
              </w:rPr>
            </w:pPr>
          </w:p>
        </w:tc>
        <w:tc>
          <w:tcPr>
            <w:tcW w:w="993" w:type="dxa"/>
            <w:tcBorders>
              <w:top w:val="single" w:sz="4" w:space="0" w:color="000000"/>
            </w:tcBorders>
            <w:tcMar>
              <w:left w:w="0" w:type="dxa"/>
              <w:right w:w="0" w:type="dxa"/>
            </w:tcMar>
            <w:vAlign w:val="center"/>
          </w:tcPr>
          <w:p w:rsidR="005F25F7" w:rsidRPr="002A47B3" w:rsidRDefault="005F25F7" w:rsidP="009C0577">
            <w:pPr>
              <w:jc w:val="both"/>
              <w:rPr>
                <w:b/>
                <w:color w:val="000000"/>
                <w:spacing w:val="-6"/>
              </w:rPr>
            </w:pPr>
          </w:p>
        </w:tc>
        <w:tc>
          <w:tcPr>
            <w:tcW w:w="1275" w:type="dxa"/>
            <w:tcBorders>
              <w:top w:val="single" w:sz="4" w:space="0" w:color="000000"/>
            </w:tcBorders>
            <w:tcMar>
              <w:left w:w="0" w:type="dxa"/>
              <w:right w:w="0" w:type="dxa"/>
            </w:tcMar>
            <w:vAlign w:val="center"/>
          </w:tcPr>
          <w:p w:rsidR="005F25F7" w:rsidRPr="002A47B3" w:rsidRDefault="005F25F7" w:rsidP="009C0577">
            <w:pPr>
              <w:jc w:val="both"/>
              <w:rPr>
                <w:b/>
                <w:color w:val="000000"/>
                <w:spacing w:val="-6"/>
              </w:rPr>
            </w:pPr>
          </w:p>
        </w:tc>
        <w:tc>
          <w:tcPr>
            <w:tcW w:w="993" w:type="dxa"/>
            <w:tcBorders>
              <w:top w:val="single" w:sz="4" w:space="0" w:color="000000"/>
            </w:tcBorders>
            <w:tcMar>
              <w:left w:w="0" w:type="dxa"/>
              <w:right w:w="0" w:type="dxa"/>
            </w:tcMar>
            <w:vAlign w:val="center"/>
          </w:tcPr>
          <w:p w:rsidR="005F25F7" w:rsidRPr="002A47B3" w:rsidRDefault="005F25F7" w:rsidP="009C0577">
            <w:pPr>
              <w:jc w:val="both"/>
              <w:rPr>
                <w:b/>
                <w:color w:val="000000"/>
                <w:spacing w:val="-6"/>
              </w:rPr>
            </w:pPr>
          </w:p>
        </w:tc>
        <w:tc>
          <w:tcPr>
            <w:tcW w:w="1134" w:type="dxa"/>
            <w:tcBorders>
              <w:top w:val="single" w:sz="4" w:space="0" w:color="000000"/>
            </w:tcBorders>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0,039</w:t>
            </w:r>
          </w:p>
        </w:tc>
      </w:tr>
      <w:tr w:rsidR="005B6F8B" w:rsidRPr="002A47B3" w:rsidTr="005B6F8B">
        <w:tblPrEx>
          <w:tblCellMar>
            <w:top w:w="0" w:type="dxa"/>
            <w:left w:w="0" w:type="dxa"/>
            <w:bottom w:w="0" w:type="dxa"/>
            <w:right w:w="0" w:type="dxa"/>
          </w:tblCellMar>
        </w:tblPrEx>
        <w:trPr>
          <w:trHeight w:val="252"/>
        </w:trPr>
        <w:tc>
          <w:tcPr>
            <w:tcW w:w="3260" w:type="dxa"/>
            <w:tcMar>
              <w:left w:w="0" w:type="dxa"/>
              <w:right w:w="0" w:type="dxa"/>
            </w:tcMar>
            <w:vAlign w:val="center"/>
          </w:tcPr>
          <w:p w:rsidR="005F25F7" w:rsidRPr="002A47B3" w:rsidRDefault="005F25F7" w:rsidP="009C0577">
            <w:pPr>
              <w:ind w:firstLine="284"/>
              <w:jc w:val="both"/>
              <w:rPr>
                <w:color w:val="000000"/>
                <w:spacing w:val="-6"/>
              </w:rPr>
            </w:pPr>
            <w:r w:rsidRPr="002A47B3">
              <w:rPr>
                <w:color w:val="000000"/>
                <w:spacing w:val="-6"/>
              </w:rPr>
              <w:t>Medium</w:t>
            </w:r>
          </w:p>
        </w:tc>
        <w:tc>
          <w:tcPr>
            <w:tcW w:w="992"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3 (13.6)</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4 (18.2)</w:t>
            </w:r>
          </w:p>
        </w:tc>
        <w:tc>
          <w:tcPr>
            <w:tcW w:w="1275"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15 (68.2)</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22</w:t>
            </w:r>
          </w:p>
        </w:tc>
        <w:tc>
          <w:tcPr>
            <w:tcW w:w="1134" w:type="dxa"/>
            <w:tcMar>
              <w:left w:w="0" w:type="dxa"/>
              <w:right w:w="0" w:type="dxa"/>
            </w:tcMar>
            <w:vAlign w:val="center"/>
          </w:tcPr>
          <w:p w:rsidR="005F25F7" w:rsidRPr="002A47B3" w:rsidRDefault="005F25F7" w:rsidP="009C0577">
            <w:pPr>
              <w:jc w:val="both"/>
              <w:rPr>
                <w:b/>
                <w:color w:val="000000"/>
                <w:spacing w:val="-6"/>
              </w:rPr>
            </w:pPr>
          </w:p>
        </w:tc>
      </w:tr>
      <w:tr w:rsidR="005B6F8B" w:rsidRPr="002A47B3" w:rsidTr="005B6F8B">
        <w:tblPrEx>
          <w:tblCellMar>
            <w:top w:w="0" w:type="dxa"/>
            <w:left w:w="0" w:type="dxa"/>
            <w:bottom w:w="0" w:type="dxa"/>
            <w:right w:w="0" w:type="dxa"/>
          </w:tblCellMar>
        </w:tblPrEx>
        <w:trPr>
          <w:trHeight w:val="252"/>
        </w:trPr>
        <w:tc>
          <w:tcPr>
            <w:tcW w:w="3260" w:type="dxa"/>
            <w:tcMar>
              <w:left w:w="0" w:type="dxa"/>
              <w:right w:w="0" w:type="dxa"/>
            </w:tcMar>
            <w:vAlign w:val="center"/>
          </w:tcPr>
          <w:p w:rsidR="005F25F7" w:rsidRPr="002A47B3" w:rsidRDefault="005F25F7" w:rsidP="009C0577">
            <w:pPr>
              <w:ind w:firstLine="284"/>
              <w:jc w:val="both"/>
              <w:rPr>
                <w:color w:val="000000"/>
                <w:spacing w:val="-6"/>
              </w:rPr>
            </w:pPr>
            <w:r w:rsidRPr="002A47B3">
              <w:rPr>
                <w:color w:val="000000"/>
                <w:spacing w:val="-6"/>
              </w:rPr>
              <w:t>Low</w:t>
            </w:r>
          </w:p>
        </w:tc>
        <w:tc>
          <w:tcPr>
            <w:tcW w:w="992"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17 (19.8)</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36 (41.9)</w:t>
            </w:r>
          </w:p>
        </w:tc>
        <w:tc>
          <w:tcPr>
            <w:tcW w:w="1275"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33 (38.4)</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86</w:t>
            </w:r>
          </w:p>
        </w:tc>
        <w:tc>
          <w:tcPr>
            <w:tcW w:w="1134" w:type="dxa"/>
            <w:tcMar>
              <w:left w:w="0" w:type="dxa"/>
              <w:right w:w="0" w:type="dxa"/>
            </w:tcMar>
            <w:vAlign w:val="center"/>
          </w:tcPr>
          <w:p w:rsidR="005F25F7" w:rsidRPr="002A47B3" w:rsidRDefault="005F25F7" w:rsidP="009C0577">
            <w:pPr>
              <w:jc w:val="both"/>
              <w:rPr>
                <w:b/>
                <w:color w:val="000000"/>
                <w:spacing w:val="-6"/>
              </w:rPr>
            </w:pPr>
          </w:p>
        </w:tc>
      </w:tr>
      <w:tr w:rsidR="005B6F8B" w:rsidRPr="002A47B3" w:rsidTr="005B6F8B">
        <w:tblPrEx>
          <w:tblCellMar>
            <w:top w:w="0" w:type="dxa"/>
            <w:left w:w="0" w:type="dxa"/>
            <w:bottom w:w="0" w:type="dxa"/>
            <w:right w:w="0" w:type="dxa"/>
          </w:tblCellMar>
        </w:tblPrEx>
        <w:trPr>
          <w:trHeight w:val="504"/>
        </w:trPr>
        <w:tc>
          <w:tcPr>
            <w:tcW w:w="3260" w:type="dxa"/>
            <w:tcMar>
              <w:left w:w="0" w:type="dxa"/>
              <w:right w:w="0" w:type="dxa"/>
            </w:tcMar>
            <w:vAlign w:val="center"/>
          </w:tcPr>
          <w:p w:rsidR="005F25F7" w:rsidRPr="002A47B3" w:rsidRDefault="005F25F7" w:rsidP="009C0577">
            <w:pPr>
              <w:jc w:val="both"/>
              <w:rPr>
                <w:b/>
                <w:color w:val="000000"/>
                <w:spacing w:val="-6"/>
              </w:rPr>
            </w:pPr>
            <w:r w:rsidRPr="002A47B3">
              <w:rPr>
                <w:b/>
                <w:color w:val="000000"/>
                <w:spacing w:val="-6"/>
              </w:rPr>
              <w:t>Fruits and vegetables consumption</w:t>
            </w:r>
          </w:p>
        </w:tc>
        <w:tc>
          <w:tcPr>
            <w:tcW w:w="992" w:type="dxa"/>
            <w:tcMar>
              <w:left w:w="0" w:type="dxa"/>
              <w:right w:w="0" w:type="dxa"/>
            </w:tcMar>
            <w:vAlign w:val="center"/>
          </w:tcPr>
          <w:p w:rsidR="005F25F7" w:rsidRPr="002A47B3" w:rsidRDefault="005F25F7" w:rsidP="009C0577">
            <w:pPr>
              <w:jc w:val="both"/>
              <w:rPr>
                <w:color w:val="000000"/>
                <w:spacing w:val="-6"/>
              </w:rPr>
            </w:pPr>
          </w:p>
        </w:tc>
        <w:tc>
          <w:tcPr>
            <w:tcW w:w="993" w:type="dxa"/>
            <w:tcMar>
              <w:left w:w="0" w:type="dxa"/>
              <w:right w:w="0" w:type="dxa"/>
            </w:tcMar>
            <w:vAlign w:val="center"/>
          </w:tcPr>
          <w:p w:rsidR="005F25F7" w:rsidRPr="002A47B3" w:rsidRDefault="005F25F7" w:rsidP="009C0577">
            <w:pPr>
              <w:jc w:val="both"/>
              <w:rPr>
                <w:color w:val="000000"/>
                <w:spacing w:val="-6"/>
              </w:rPr>
            </w:pPr>
          </w:p>
        </w:tc>
        <w:tc>
          <w:tcPr>
            <w:tcW w:w="1275" w:type="dxa"/>
            <w:tcMar>
              <w:left w:w="0" w:type="dxa"/>
              <w:right w:w="0" w:type="dxa"/>
            </w:tcMar>
            <w:vAlign w:val="center"/>
          </w:tcPr>
          <w:p w:rsidR="005F25F7" w:rsidRPr="002A47B3" w:rsidRDefault="005F25F7" w:rsidP="009C0577">
            <w:pPr>
              <w:jc w:val="both"/>
              <w:rPr>
                <w:color w:val="000000"/>
                <w:spacing w:val="-6"/>
              </w:rPr>
            </w:pPr>
          </w:p>
        </w:tc>
        <w:tc>
          <w:tcPr>
            <w:tcW w:w="993" w:type="dxa"/>
            <w:tcMar>
              <w:left w:w="0" w:type="dxa"/>
              <w:right w:w="0" w:type="dxa"/>
            </w:tcMar>
            <w:vAlign w:val="center"/>
          </w:tcPr>
          <w:p w:rsidR="005F25F7" w:rsidRPr="002A47B3" w:rsidRDefault="005F25F7" w:rsidP="009C0577">
            <w:pPr>
              <w:jc w:val="both"/>
              <w:rPr>
                <w:color w:val="000000"/>
                <w:spacing w:val="-6"/>
              </w:rPr>
            </w:pPr>
          </w:p>
        </w:tc>
        <w:tc>
          <w:tcPr>
            <w:tcW w:w="1134" w:type="dxa"/>
            <w:tcMar>
              <w:left w:w="0" w:type="dxa"/>
              <w:right w:w="0" w:type="dxa"/>
            </w:tcMar>
            <w:vAlign w:val="center"/>
          </w:tcPr>
          <w:p w:rsidR="005F25F7" w:rsidRPr="002A47B3" w:rsidRDefault="005F25F7" w:rsidP="009C0577">
            <w:pPr>
              <w:jc w:val="both"/>
              <w:rPr>
                <w:color w:val="000000"/>
                <w:spacing w:val="-6"/>
                <w:lang w:val="id-ID"/>
              </w:rPr>
            </w:pPr>
            <w:r w:rsidRPr="002A47B3">
              <w:rPr>
                <w:color w:val="000000"/>
                <w:spacing w:val="-6"/>
              </w:rPr>
              <w:t>0,00</w:t>
            </w:r>
            <w:r w:rsidRPr="002A47B3">
              <w:rPr>
                <w:color w:val="000000"/>
                <w:spacing w:val="-6"/>
                <w:lang w:val="id-ID"/>
              </w:rPr>
              <w:t>0</w:t>
            </w:r>
          </w:p>
        </w:tc>
      </w:tr>
      <w:tr w:rsidR="005B6F8B" w:rsidRPr="002A47B3" w:rsidTr="005B6F8B">
        <w:tblPrEx>
          <w:tblCellMar>
            <w:top w:w="0" w:type="dxa"/>
            <w:left w:w="0" w:type="dxa"/>
            <w:bottom w:w="0" w:type="dxa"/>
            <w:right w:w="0" w:type="dxa"/>
          </w:tblCellMar>
        </w:tblPrEx>
        <w:trPr>
          <w:trHeight w:val="252"/>
        </w:trPr>
        <w:tc>
          <w:tcPr>
            <w:tcW w:w="3260" w:type="dxa"/>
            <w:tcMar>
              <w:left w:w="0" w:type="dxa"/>
              <w:right w:w="0" w:type="dxa"/>
            </w:tcMar>
            <w:vAlign w:val="center"/>
          </w:tcPr>
          <w:p w:rsidR="005F25F7" w:rsidRPr="002A47B3" w:rsidRDefault="005F25F7" w:rsidP="009C0577">
            <w:pPr>
              <w:ind w:firstLine="284"/>
              <w:jc w:val="both"/>
              <w:rPr>
                <w:color w:val="000000"/>
                <w:spacing w:val="-6"/>
              </w:rPr>
            </w:pPr>
            <w:r w:rsidRPr="002A47B3">
              <w:rPr>
                <w:color w:val="000000"/>
                <w:spacing w:val="-6"/>
              </w:rPr>
              <w:t>Enough</w:t>
            </w:r>
          </w:p>
        </w:tc>
        <w:tc>
          <w:tcPr>
            <w:tcW w:w="992"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12 (17.4)</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9 (13.0)</w:t>
            </w:r>
          </w:p>
        </w:tc>
        <w:tc>
          <w:tcPr>
            <w:tcW w:w="1275"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48 (69.6)</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69</w:t>
            </w:r>
          </w:p>
        </w:tc>
        <w:tc>
          <w:tcPr>
            <w:tcW w:w="1134" w:type="dxa"/>
            <w:tcMar>
              <w:left w:w="0" w:type="dxa"/>
              <w:right w:w="0" w:type="dxa"/>
            </w:tcMar>
            <w:vAlign w:val="center"/>
          </w:tcPr>
          <w:p w:rsidR="005F25F7" w:rsidRPr="002A47B3" w:rsidRDefault="005F25F7" w:rsidP="009C0577">
            <w:pPr>
              <w:jc w:val="both"/>
              <w:rPr>
                <w:color w:val="000000"/>
                <w:spacing w:val="-6"/>
              </w:rPr>
            </w:pPr>
          </w:p>
        </w:tc>
      </w:tr>
      <w:tr w:rsidR="005B6F8B" w:rsidRPr="002A47B3" w:rsidTr="005B6F8B">
        <w:tblPrEx>
          <w:tblCellMar>
            <w:top w:w="0" w:type="dxa"/>
            <w:left w:w="0" w:type="dxa"/>
            <w:bottom w:w="0" w:type="dxa"/>
            <w:right w:w="0" w:type="dxa"/>
          </w:tblCellMar>
        </w:tblPrEx>
        <w:trPr>
          <w:trHeight w:val="380"/>
        </w:trPr>
        <w:tc>
          <w:tcPr>
            <w:tcW w:w="3260" w:type="dxa"/>
            <w:tcMar>
              <w:left w:w="0" w:type="dxa"/>
              <w:right w:w="0" w:type="dxa"/>
            </w:tcMar>
            <w:vAlign w:val="center"/>
          </w:tcPr>
          <w:p w:rsidR="005F25F7" w:rsidRPr="002A47B3" w:rsidRDefault="005F25F7" w:rsidP="009C0577">
            <w:pPr>
              <w:ind w:firstLine="284"/>
              <w:jc w:val="both"/>
              <w:rPr>
                <w:color w:val="000000"/>
                <w:spacing w:val="-6"/>
              </w:rPr>
            </w:pPr>
            <w:r w:rsidRPr="002A47B3">
              <w:rPr>
                <w:color w:val="000000"/>
                <w:spacing w:val="-6"/>
              </w:rPr>
              <w:t>Low</w:t>
            </w:r>
          </w:p>
        </w:tc>
        <w:tc>
          <w:tcPr>
            <w:tcW w:w="992"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8 (20.5)</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31(79.5)</w:t>
            </w:r>
          </w:p>
        </w:tc>
        <w:tc>
          <w:tcPr>
            <w:tcW w:w="1275"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0 (0)</w:t>
            </w:r>
          </w:p>
        </w:tc>
        <w:tc>
          <w:tcPr>
            <w:tcW w:w="993" w:type="dxa"/>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39</w:t>
            </w:r>
          </w:p>
        </w:tc>
        <w:tc>
          <w:tcPr>
            <w:tcW w:w="1134" w:type="dxa"/>
            <w:tcMar>
              <w:left w:w="0" w:type="dxa"/>
              <w:right w:w="0" w:type="dxa"/>
            </w:tcMar>
            <w:vAlign w:val="center"/>
          </w:tcPr>
          <w:p w:rsidR="005F25F7" w:rsidRPr="002A47B3" w:rsidRDefault="005F25F7" w:rsidP="009C0577">
            <w:pPr>
              <w:jc w:val="both"/>
              <w:rPr>
                <w:color w:val="000000"/>
                <w:spacing w:val="-6"/>
              </w:rPr>
            </w:pPr>
          </w:p>
        </w:tc>
      </w:tr>
      <w:tr w:rsidR="005B6F8B" w:rsidRPr="002A47B3" w:rsidTr="005B6F8B">
        <w:tblPrEx>
          <w:tblCellMar>
            <w:top w:w="0" w:type="dxa"/>
            <w:left w:w="0" w:type="dxa"/>
            <w:bottom w:w="0" w:type="dxa"/>
            <w:right w:w="0" w:type="dxa"/>
          </w:tblCellMar>
        </w:tblPrEx>
        <w:trPr>
          <w:trHeight w:val="252"/>
        </w:trPr>
        <w:tc>
          <w:tcPr>
            <w:tcW w:w="3260" w:type="dxa"/>
            <w:tcBorders>
              <w:bottom w:val="single" w:sz="8" w:space="0" w:color="000000"/>
            </w:tcBorders>
            <w:tcMar>
              <w:left w:w="0" w:type="dxa"/>
              <w:right w:w="0" w:type="dxa"/>
            </w:tcMar>
            <w:vAlign w:val="center"/>
          </w:tcPr>
          <w:p w:rsidR="005F25F7" w:rsidRPr="002A47B3" w:rsidRDefault="005F25F7" w:rsidP="009C0577">
            <w:pPr>
              <w:ind w:left="1843" w:hanging="567"/>
              <w:jc w:val="both"/>
              <w:rPr>
                <w:b/>
                <w:color w:val="000000"/>
                <w:spacing w:val="-6"/>
              </w:rPr>
            </w:pPr>
            <w:r w:rsidRPr="002A47B3">
              <w:rPr>
                <w:b/>
                <w:color w:val="000000"/>
                <w:spacing w:val="-6"/>
              </w:rPr>
              <w:t>Total</w:t>
            </w:r>
          </w:p>
        </w:tc>
        <w:tc>
          <w:tcPr>
            <w:tcW w:w="992" w:type="dxa"/>
            <w:tcBorders>
              <w:bottom w:val="single" w:sz="8" w:space="0" w:color="000000"/>
            </w:tcBorders>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40</w:t>
            </w:r>
          </w:p>
        </w:tc>
        <w:tc>
          <w:tcPr>
            <w:tcW w:w="993" w:type="dxa"/>
            <w:tcBorders>
              <w:bottom w:val="single" w:sz="8" w:space="0" w:color="000000"/>
            </w:tcBorders>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80</w:t>
            </w:r>
          </w:p>
        </w:tc>
        <w:tc>
          <w:tcPr>
            <w:tcW w:w="1275" w:type="dxa"/>
            <w:tcBorders>
              <w:bottom w:val="single" w:sz="8" w:space="0" w:color="000000"/>
            </w:tcBorders>
            <w:tcMar>
              <w:left w:w="0" w:type="dxa"/>
              <w:right w:w="0" w:type="dxa"/>
            </w:tcMar>
            <w:vAlign w:val="center"/>
          </w:tcPr>
          <w:p w:rsidR="005F25F7" w:rsidRPr="002A47B3" w:rsidRDefault="005F25F7" w:rsidP="009C0577">
            <w:pPr>
              <w:jc w:val="both"/>
              <w:rPr>
                <w:color w:val="000000"/>
                <w:spacing w:val="-6"/>
              </w:rPr>
            </w:pPr>
            <w:r w:rsidRPr="002A47B3">
              <w:rPr>
                <w:color w:val="000000"/>
                <w:spacing w:val="-6"/>
              </w:rPr>
              <w:t>96</w:t>
            </w:r>
          </w:p>
        </w:tc>
        <w:tc>
          <w:tcPr>
            <w:tcW w:w="993" w:type="dxa"/>
            <w:tcBorders>
              <w:bottom w:val="single" w:sz="8" w:space="0" w:color="000000"/>
            </w:tcBorders>
            <w:tcMar>
              <w:left w:w="0" w:type="dxa"/>
              <w:right w:w="0" w:type="dxa"/>
            </w:tcMar>
            <w:vAlign w:val="center"/>
          </w:tcPr>
          <w:p w:rsidR="005F25F7" w:rsidRPr="002A47B3" w:rsidRDefault="005F25F7" w:rsidP="009C0577">
            <w:pPr>
              <w:jc w:val="both"/>
              <w:rPr>
                <w:color w:val="000000"/>
                <w:spacing w:val="-6"/>
              </w:rPr>
            </w:pPr>
          </w:p>
        </w:tc>
        <w:tc>
          <w:tcPr>
            <w:tcW w:w="1134" w:type="dxa"/>
            <w:tcBorders>
              <w:bottom w:val="single" w:sz="8" w:space="0" w:color="000000"/>
            </w:tcBorders>
            <w:tcMar>
              <w:left w:w="0" w:type="dxa"/>
              <w:right w:w="0" w:type="dxa"/>
            </w:tcMar>
            <w:vAlign w:val="center"/>
          </w:tcPr>
          <w:p w:rsidR="005F25F7" w:rsidRPr="002A47B3" w:rsidRDefault="005F25F7" w:rsidP="009C0577">
            <w:pPr>
              <w:jc w:val="both"/>
              <w:rPr>
                <w:color w:val="000000"/>
                <w:spacing w:val="-6"/>
              </w:rPr>
            </w:pPr>
          </w:p>
        </w:tc>
      </w:tr>
    </w:tbl>
    <w:p w:rsidR="005F25F7" w:rsidRPr="002A47B3" w:rsidRDefault="005F25F7" w:rsidP="005F25F7">
      <w:pPr>
        <w:spacing w:line="360" w:lineRule="auto"/>
        <w:ind w:right="4677"/>
        <w:jc w:val="both"/>
        <w:rPr>
          <w:color w:val="000000"/>
        </w:rPr>
      </w:pPr>
      <w:r w:rsidRPr="002A47B3">
        <w:rPr>
          <w:color w:val="000000"/>
        </w:rPr>
        <w:t>Source: Primary data, 2018</w:t>
      </w:r>
    </w:p>
    <w:p w:rsidR="005F25F7" w:rsidRPr="004B77AA" w:rsidRDefault="005F25F7" w:rsidP="00686F1C">
      <w:pPr>
        <w:ind w:firstLine="360"/>
        <w:jc w:val="both"/>
        <w:rPr>
          <w:color w:val="000000"/>
          <w:spacing w:val="-6"/>
          <w:lang w:val="id-ID"/>
        </w:rPr>
      </w:pPr>
      <w:r w:rsidRPr="002A47B3">
        <w:rPr>
          <w:color w:val="000000"/>
        </w:rPr>
        <w:t>Chi square test performed on these data shows a significant correlation between purchasing power and nutrition status (</w:t>
      </w:r>
      <w:r w:rsidRPr="002A47B3">
        <w:rPr>
          <w:color w:val="000000"/>
          <w:spacing w:val="-6"/>
        </w:rPr>
        <w:t xml:space="preserve">p= 0,039) which means parents’ purchasing power influeces school children’s nutrition status. According to the study performed in those four elementary schools, almost every student’s parents work as farmers and housewives, which causes a very low household purchasing power, and then results in very low children’s food consumption which decreases the children’s nutrition status. This result aligns with a study performed by </w:t>
      </w:r>
      <w:r w:rsidR="004B77AA">
        <w:rPr>
          <w:color w:val="000000"/>
          <w:spacing w:val="-6"/>
          <w:lang w:val="id-ID"/>
        </w:rPr>
        <w:t xml:space="preserve">[6] </w:t>
      </w:r>
      <w:r w:rsidRPr="002A47B3">
        <w:rPr>
          <w:color w:val="000000"/>
          <w:spacing w:val="-6"/>
        </w:rPr>
        <w:t xml:space="preserve">In America, low economic status can influence children’s health. Economic conditions for example a low income level causes an inability to purchase household needs, thus influencing children’s nutrition status </w:t>
      </w:r>
      <w:r w:rsidR="004B77AA">
        <w:rPr>
          <w:color w:val="000000"/>
          <w:spacing w:val="-6"/>
          <w:lang w:val="id-ID"/>
        </w:rPr>
        <w:t>[6,10].</w:t>
      </w:r>
    </w:p>
    <w:p w:rsidR="005F25F7" w:rsidRPr="004B77AA" w:rsidRDefault="005F25F7" w:rsidP="00686F1C">
      <w:pPr>
        <w:ind w:firstLine="360"/>
        <w:jc w:val="both"/>
        <w:rPr>
          <w:color w:val="000000"/>
          <w:spacing w:val="-6"/>
          <w:lang w:val="id-ID"/>
        </w:rPr>
      </w:pPr>
      <w:r w:rsidRPr="002A47B3">
        <w:rPr>
          <w:color w:val="000000"/>
          <w:spacing w:val="-6"/>
        </w:rPr>
        <w:t xml:space="preserve">A family’s economic condition is also influenced by parents’, especially mother’s, role in educating her children. Mother’s knowledge is gained from her last education. An inability to fulfill a baby’s nutritional need will influence his adult life </w:t>
      </w:r>
      <w:r w:rsidR="004B77AA">
        <w:rPr>
          <w:color w:val="000000"/>
          <w:spacing w:val="-6"/>
          <w:lang w:val="id-ID"/>
        </w:rPr>
        <w:t>[</w:t>
      </w:r>
      <w:r w:rsidR="00740A7C">
        <w:rPr>
          <w:color w:val="000000"/>
          <w:spacing w:val="-6"/>
          <w:lang w:val="id-ID"/>
        </w:rPr>
        <w:t>15</w:t>
      </w:r>
      <w:r w:rsidR="004B77AA">
        <w:rPr>
          <w:color w:val="000000"/>
          <w:spacing w:val="-6"/>
          <w:lang w:val="id-ID"/>
        </w:rPr>
        <w:t>,11].</w:t>
      </w:r>
    </w:p>
    <w:p w:rsidR="005F25F7" w:rsidRPr="002A47B3" w:rsidRDefault="005F25F7" w:rsidP="00686F1C">
      <w:pPr>
        <w:ind w:firstLine="360"/>
        <w:jc w:val="both"/>
        <w:rPr>
          <w:color w:val="000000"/>
          <w:lang w:val="en-GB"/>
        </w:rPr>
      </w:pPr>
      <w:r w:rsidRPr="002A47B3">
        <w:rPr>
          <w:color w:val="000000"/>
          <w:spacing w:val="-6"/>
        </w:rPr>
        <w:t>Fruits and vegetables consumption and nutrition status</w:t>
      </w:r>
      <w:r w:rsidRPr="002A47B3">
        <w:rPr>
          <w:color w:val="000000"/>
        </w:rPr>
        <w:t xml:space="preserve"> (</w:t>
      </w:r>
      <w:r w:rsidRPr="002A47B3">
        <w:rPr>
          <w:color w:val="000000"/>
          <w:spacing w:val="-6"/>
        </w:rPr>
        <w:t>p= 0,000).</w:t>
      </w:r>
      <w:r w:rsidRPr="002A47B3">
        <w:rPr>
          <w:color w:val="000000"/>
        </w:rPr>
        <w:t xml:space="preserve"> There is a correlation between f</w:t>
      </w:r>
      <w:r w:rsidRPr="002A47B3">
        <w:rPr>
          <w:color w:val="000000"/>
          <w:spacing w:val="-6"/>
        </w:rPr>
        <w:t>ruits and vegetables consumption and nutrition status of school children in West Amanuban sub-district. Fruits and vegetables consumption is one of the indicators for balanced nutrition because fruits and vegetables are sources</w:t>
      </w:r>
      <w:r>
        <w:rPr>
          <w:color w:val="000000"/>
          <w:spacing w:val="-6"/>
          <w:lang w:val="id-ID"/>
        </w:rPr>
        <w:t xml:space="preserve"> </w:t>
      </w:r>
      <w:r w:rsidRPr="002A47B3">
        <w:rPr>
          <w:color w:val="000000"/>
          <w:spacing w:val="-6"/>
        </w:rPr>
        <w:t xml:space="preserve">of vitamins, minerals, and fibers which act as antioxidants. The results of basic health research (Riskesdas) 2010 describes that fruits and vegetables consumption in the age group above 10 years old is still low: around </w:t>
      </w:r>
      <w:r w:rsidRPr="002A47B3">
        <w:rPr>
          <w:color w:val="000000"/>
        </w:rPr>
        <w:t xml:space="preserve">36,7 % and 37,98 %. In Korea, the community’s expenses to buy food supplies, such as vegetables, fruits, milk, and other food depend on parents’ income level. Higher parents’ income level leads to high expenses for food, while low income level leads to low consumption of fruits and vegetables. </w:t>
      </w:r>
    </w:p>
    <w:p w:rsidR="005F25F7" w:rsidRPr="00740A7C" w:rsidRDefault="005F25F7" w:rsidP="00686F1C">
      <w:pPr>
        <w:ind w:firstLine="360"/>
        <w:jc w:val="both"/>
        <w:rPr>
          <w:color w:val="000000"/>
          <w:lang w:val="id-ID"/>
        </w:rPr>
      </w:pPr>
      <w:r w:rsidRPr="002A47B3">
        <w:rPr>
          <w:color w:val="000000"/>
        </w:rPr>
        <w:t xml:space="preserve">An adult’s fruits and vegetables consumption behavior starts from their childhood and adolescence, and the facts are that children and adolescents do not fulfill WHO’s standards of fruits and vegetables consumption, which is 400 grams per day </w:t>
      </w:r>
      <w:r w:rsidR="00740A7C">
        <w:rPr>
          <w:color w:val="000000"/>
          <w:lang w:val="id-ID"/>
        </w:rPr>
        <w:t xml:space="preserve">[12,13]. </w:t>
      </w:r>
      <w:r w:rsidRPr="002A47B3">
        <w:rPr>
          <w:color w:val="000000"/>
        </w:rPr>
        <w:t xml:space="preserve">Fruits and vegetables consumed without added fat or sugar contain low calorie, and are great sources of vitamin C, beta-carotene, potassium, and fiber. The increase of fruits and vegetables consumption can decrease total calorie consumption and increase health quality, especially if fruits and vegetables are recommended as replacements for other fatty and sugary foods. Research suggests that higher fruits and vegetables consumption is also correlated to the decrease of sodium intake which is a risk factor for hypertension. Increasing fruits and vegetables consumption in children and pre-adolescents can decrease risks of overweight and obesity and other chronic diseases </w:t>
      </w:r>
      <w:r w:rsidR="00740A7C">
        <w:rPr>
          <w:color w:val="000000"/>
          <w:lang w:val="id-ID"/>
        </w:rPr>
        <w:t>[14,15].</w:t>
      </w:r>
    </w:p>
    <w:p w:rsidR="002622CD" w:rsidRPr="003D5B84" w:rsidRDefault="002622CD" w:rsidP="00904D6D">
      <w:pPr>
        <w:rPr>
          <w:b/>
          <w:bCs/>
          <w:lang w:val="id-ID"/>
        </w:rPr>
      </w:pPr>
    </w:p>
    <w:p w:rsidR="00686F1C" w:rsidRDefault="00F33C08" w:rsidP="00686F1C">
      <w:pPr>
        <w:numPr>
          <w:ilvl w:val="0"/>
          <w:numId w:val="15"/>
        </w:numPr>
        <w:tabs>
          <w:tab w:val="left" w:pos="426"/>
        </w:tabs>
        <w:ind w:left="426" w:hanging="426"/>
        <w:jc w:val="both"/>
        <w:rPr>
          <w:b/>
          <w:bCs/>
          <w:lang w:val="id-ID"/>
        </w:rPr>
      </w:pPr>
      <w:r w:rsidRPr="003D5B84">
        <w:rPr>
          <w:b/>
          <w:bCs/>
          <w:lang w:val="id-ID"/>
        </w:rPr>
        <w:t>CONCLUSION</w:t>
      </w:r>
      <w:r w:rsidR="005F25F7">
        <w:rPr>
          <w:b/>
          <w:bCs/>
        </w:rPr>
        <w:t xml:space="preserve"> </w:t>
      </w:r>
    </w:p>
    <w:p w:rsidR="005F25F7" w:rsidRPr="00686F1C" w:rsidRDefault="00686F1C" w:rsidP="00686F1C">
      <w:pPr>
        <w:tabs>
          <w:tab w:val="left" w:pos="426"/>
        </w:tabs>
        <w:jc w:val="both"/>
        <w:rPr>
          <w:b/>
          <w:bCs/>
          <w:lang w:val="id-ID"/>
        </w:rPr>
      </w:pPr>
      <w:r>
        <w:rPr>
          <w:b/>
          <w:bCs/>
          <w:lang w:val="id-ID"/>
        </w:rPr>
        <w:tab/>
      </w:r>
      <w:r w:rsidR="005F25F7" w:rsidRPr="005D3587">
        <w:t>Study results show that there is a correlation between purchasing power, fruits</w:t>
      </w:r>
      <w:r w:rsidR="00853CE9">
        <w:t xml:space="preserve"> and vegetables consumption, </w:t>
      </w:r>
      <w:r w:rsidR="00853CE9">
        <w:rPr>
          <w:lang w:val="id-ID"/>
        </w:rPr>
        <w:t>with</w:t>
      </w:r>
      <w:r w:rsidR="005F25F7" w:rsidRPr="005D3587">
        <w:t xml:space="preserve"> nutrition status in elementary school students</w:t>
      </w:r>
      <w:r w:rsidR="005F25F7" w:rsidRPr="00686F1C">
        <w:rPr>
          <w:color w:val="000000"/>
        </w:rPr>
        <w:t xml:space="preserve"> (p&lt;0,05). Further studies concerning </w:t>
      </w:r>
      <w:r w:rsidR="005F25F7" w:rsidRPr="005D3587">
        <w:t xml:space="preserve">purchasing power, fruits </w:t>
      </w:r>
      <w:r w:rsidR="004D0A3A">
        <w:t xml:space="preserve">and vegetables consumption, </w:t>
      </w:r>
      <w:r w:rsidR="004D0A3A" w:rsidRPr="00686F1C">
        <w:rPr>
          <w:lang w:val="id-ID"/>
        </w:rPr>
        <w:t xml:space="preserve">with </w:t>
      </w:r>
      <w:r w:rsidR="005F25F7" w:rsidRPr="005D3587">
        <w:t>nutrition status are needed.</w:t>
      </w:r>
    </w:p>
    <w:p w:rsidR="0088233C" w:rsidRDefault="0088233C" w:rsidP="00904D6D">
      <w:pPr>
        <w:rPr>
          <w:b/>
          <w:bCs/>
        </w:rPr>
      </w:pPr>
    </w:p>
    <w:p w:rsidR="0088233C" w:rsidRPr="00027E76" w:rsidRDefault="0088233C" w:rsidP="00904D6D">
      <w:pPr>
        <w:rPr>
          <w:b/>
          <w:bCs/>
        </w:rPr>
      </w:pPr>
    </w:p>
    <w:p w:rsidR="007F125C" w:rsidRPr="00027E76" w:rsidRDefault="00F33C08" w:rsidP="00686F1C">
      <w:pPr>
        <w:pStyle w:val="ListParagraph"/>
        <w:numPr>
          <w:ilvl w:val="0"/>
          <w:numId w:val="15"/>
        </w:numPr>
        <w:spacing w:line="240" w:lineRule="auto"/>
        <w:ind w:left="426"/>
        <w:rPr>
          <w:rStyle w:val="apple-style-span"/>
          <w:rFonts w:ascii="Times New Roman" w:hAnsi="Times New Roman"/>
          <w:b/>
          <w:color w:val="000000"/>
          <w:sz w:val="20"/>
          <w:szCs w:val="20"/>
          <w:lang w:val="pt-BR"/>
        </w:rPr>
      </w:pPr>
      <w:r w:rsidRPr="00027E76">
        <w:rPr>
          <w:rStyle w:val="apple-style-span"/>
          <w:rFonts w:ascii="Times New Roman" w:hAnsi="Times New Roman"/>
          <w:b/>
          <w:color w:val="000000"/>
          <w:sz w:val="20"/>
          <w:szCs w:val="20"/>
          <w:lang w:val="pt-BR"/>
        </w:rPr>
        <w:t>ACKNOWLEDGEMENTS</w:t>
      </w:r>
    </w:p>
    <w:p w:rsidR="007F125C" w:rsidRPr="00027E76" w:rsidRDefault="00626DE2" w:rsidP="00686F1C">
      <w:pPr>
        <w:pStyle w:val="ListParagraph"/>
        <w:spacing w:line="240" w:lineRule="auto"/>
        <w:ind w:left="426"/>
        <w:jc w:val="both"/>
        <w:rPr>
          <w:rFonts w:ascii="Times New Roman" w:hAnsi="Times New Roman"/>
          <w:sz w:val="20"/>
          <w:szCs w:val="20"/>
          <w:lang w:val="id-ID"/>
        </w:rPr>
      </w:pPr>
      <w:r w:rsidRPr="00027E76">
        <w:rPr>
          <w:rFonts w:ascii="Times New Roman" w:hAnsi="Times New Roman"/>
          <w:sz w:val="20"/>
          <w:szCs w:val="20"/>
          <w:lang w:val="id-ID"/>
        </w:rPr>
        <w:t>The author</w:t>
      </w:r>
      <w:r w:rsidR="007F125C" w:rsidRPr="00027E76">
        <w:rPr>
          <w:rFonts w:ascii="Times New Roman" w:hAnsi="Times New Roman"/>
          <w:sz w:val="20"/>
          <w:szCs w:val="20"/>
          <w:lang w:val="id-ID"/>
        </w:rPr>
        <w:t xml:space="preserve"> research was supported by</w:t>
      </w:r>
      <w:r w:rsidR="004D0A3A" w:rsidRPr="00027E76">
        <w:rPr>
          <w:rFonts w:ascii="Times New Roman" w:hAnsi="Times New Roman"/>
          <w:sz w:val="20"/>
          <w:szCs w:val="20"/>
          <w:lang w:val="id-ID"/>
        </w:rPr>
        <w:t xml:space="preserve"> </w:t>
      </w:r>
      <w:r w:rsidRPr="00027E76">
        <w:rPr>
          <w:rFonts w:ascii="Times New Roman" w:hAnsi="Times New Roman"/>
          <w:sz w:val="20"/>
          <w:szCs w:val="20"/>
          <w:lang w:val="id-ID"/>
        </w:rPr>
        <w:t>SD Inpres Neonmat, SD Inpres Nulle, SD GMIT Nulle, SD GMIT Nifukani,KESBANGPOL,department of education, my parents, my supervisors, and my friends</w:t>
      </w:r>
      <w:r w:rsidR="004D0A3A" w:rsidRPr="00027E76">
        <w:rPr>
          <w:rFonts w:ascii="Times New Roman" w:hAnsi="Times New Roman"/>
          <w:sz w:val="20"/>
          <w:szCs w:val="20"/>
          <w:lang w:val="id-ID"/>
        </w:rPr>
        <w:t>.</w:t>
      </w:r>
    </w:p>
    <w:p w:rsidR="00686F1C" w:rsidRDefault="00686F1C" w:rsidP="00686F1C">
      <w:pPr>
        <w:pStyle w:val="ListParagraph"/>
        <w:spacing w:line="240" w:lineRule="auto"/>
        <w:ind w:left="426"/>
        <w:jc w:val="both"/>
        <w:rPr>
          <w:rFonts w:ascii="AdvGaramond-ITC-L" w:hAnsi="AdvGaramond-ITC-L" w:cs="AdvGaramond-ITC-L"/>
          <w:sz w:val="19"/>
          <w:szCs w:val="19"/>
          <w:lang w:val="id-ID"/>
        </w:rPr>
      </w:pPr>
    </w:p>
    <w:p w:rsidR="00686F1C" w:rsidRDefault="00686F1C" w:rsidP="007F125C">
      <w:pPr>
        <w:pStyle w:val="ListParagraph"/>
        <w:ind w:left="426"/>
        <w:jc w:val="both"/>
        <w:rPr>
          <w:b/>
          <w:color w:val="000000"/>
          <w:lang w:val="id-ID"/>
        </w:rPr>
      </w:pPr>
    </w:p>
    <w:p w:rsidR="00A37E1C" w:rsidRPr="00A37E1C" w:rsidRDefault="00A37E1C" w:rsidP="007F125C">
      <w:pPr>
        <w:pStyle w:val="ListParagraph"/>
        <w:ind w:left="426"/>
        <w:jc w:val="both"/>
        <w:rPr>
          <w:b/>
          <w:color w:val="000000"/>
          <w:lang w:val="id-ID"/>
        </w:rPr>
      </w:pPr>
    </w:p>
    <w:p w:rsidR="00C35B8F" w:rsidRDefault="00F33C08" w:rsidP="00C35B8F">
      <w:pPr>
        <w:rPr>
          <w:rStyle w:val="apple-style-span"/>
          <w:b/>
          <w:color w:val="000000"/>
          <w:lang w:val="id-ID"/>
        </w:rPr>
      </w:pPr>
      <w:r w:rsidRPr="003D5B84">
        <w:rPr>
          <w:rStyle w:val="apple-style-span"/>
          <w:b/>
          <w:color w:val="000000"/>
          <w:lang w:val="pt-BR"/>
        </w:rPr>
        <w:lastRenderedPageBreak/>
        <w:t>REFERENCES</w:t>
      </w:r>
    </w:p>
    <w:p w:rsidR="005B6F8B" w:rsidRPr="005B6F8B" w:rsidRDefault="005B6F8B" w:rsidP="00C35B8F">
      <w:pPr>
        <w:rPr>
          <w:color w:val="000000"/>
          <w:lang w:val="id-ID"/>
        </w:rPr>
      </w:pPr>
    </w:p>
    <w:p w:rsidR="004D0A3A" w:rsidRPr="003F525C" w:rsidRDefault="004D0A3A" w:rsidP="004D0A3A">
      <w:pPr>
        <w:pStyle w:val="ListParagraph"/>
        <w:numPr>
          <w:ilvl w:val="0"/>
          <w:numId w:val="18"/>
        </w:numPr>
        <w:jc w:val="both"/>
        <w:rPr>
          <w:rFonts w:ascii="Times New Roman" w:hAnsi="Times New Roman"/>
          <w:bCs/>
          <w:sz w:val="18"/>
          <w:szCs w:val="18"/>
        </w:rPr>
      </w:pPr>
      <w:r w:rsidRPr="005D3587">
        <w:rPr>
          <w:rFonts w:ascii="Times New Roman" w:hAnsi="Times New Roman"/>
          <w:sz w:val="18"/>
          <w:szCs w:val="18"/>
        </w:rPr>
        <w:t xml:space="preserve">Abudayya A, Shi Z, Abed Y, Holmboe-ottesen G (2011).  Diet, Nutritional Status and school performance Among Adolescents in Gaza Strip. </w:t>
      </w:r>
      <w:r w:rsidRPr="005D3587">
        <w:rPr>
          <w:rFonts w:ascii="Times New Roman" w:hAnsi="Times New Roman"/>
          <w:i/>
          <w:sz w:val="18"/>
          <w:szCs w:val="18"/>
        </w:rPr>
        <w:t>Eastern mediterranean Health Journal</w:t>
      </w:r>
      <w:r w:rsidRPr="005D3587">
        <w:rPr>
          <w:rFonts w:ascii="Times New Roman" w:hAnsi="Times New Roman"/>
          <w:sz w:val="18"/>
          <w:szCs w:val="18"/>
        </w:rPr>
        <w:t>. 17 (3).</w:t>
      </w:r>
    </w:p>
    <w:p w:rsidR="004D0A3A" w:rsidRPr="003F525C" w:rsidRDefault="004D0A3A" w:rsidP="004D0A3A">
      <w:pPr>
        <w:pStyle w:val="ListParagraph"/>
        <w:numPr>
          <w:ilvl w:val="0"/>
          <w:numId w:val="18"/>
        </w:numPr>
        <w:jc w:val="both"/>
        <w:rPr>
          <w:rStyle w:val="A7"/>
          <w:rFonts w:ascii="Times New Roman" w:hAnsi="Times New Roman"/>
          <w:bCs/>
          <w:i w:val="0"/>
          <w:iCs w:val="0"/>
          <w:lang w:val="id-ID"/>
        </w:rPr>
      </w:pPr>
      <w:r w:rsidRPr="003F525C">
        <w:rPr>
          <w:rStyle w:val="A7"/>
          <w:rFonts w:ascii="Times New Roman" w:hAnsi="Times New Roman"/>
          <w:i w:val="0"/>
        </w:rPr>
        <w:t>Hardiansyah. (2007). Review Faktor Determinan Keragamam Asupan Pangan. Fakultas Ekologi Manusia. Institut Pertanian Bogor.</w:t>
      </w:r>
      <w:r w:rsidRPr="003F525C">
        <w:rPr>
          <w:rStyle w:val="A7"/>
          <w:rFonts w:ascii="Times New Roman" w:hAnsi="Times New Roman"/>
        </w:rPr>
        <w:t xml:space="preserve"> Jurnal Gizi Dan Pangan, 2(2), 55–74.</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sz w:val="18"/>
          <w:szCs w:val="18"/>
        </w:rPr>
        <w:t xml:space="preserve">Nagari, RK., Nindya., TS. (2017) . </w:t>
      </w:r>
      <w:r w:rsidRPr="003F525C">
        <w:rPr>
          <w:rFonts w:ascii="Times New Roman" w:hAnsi="Times New Roman"/>
          <w:bCs/>
          <w:sz w:val="18"/>
          <w:szCs w:val="18"/>
        </w:rPr>
        <w:t>Tingkat Kecukupan Energi, Protein Dan Status Ketahanan Pangan Rumah Tangga Berhubungan Dengan Status Gizi Anak Usia 6-8 Tahun</w:t>
      </w:r>
      <w:r w:rsidRPr="003F525C">
        <w:rPr>
          <w:rFonts w:ascii="Times New Roman" w:hAnsi="Times New Roman"/>
          <w:bCs/>
          <w:i/>
          <w:sz w:val="18"/>
          <w:szCs w:val="18"/>
        </w:rPr>
        <w:t>.</w:t>
      </w:r>
      <w:r w:rsidRPr="003F525C">
        <w:rPr>
          <w:rFonts w:ascii="Times New Roman" w:hAnsi="Times New Roman"/>
          <w:i/>
          <w:sz w:val="18"/>
          <w:szCs w:val="18"/>
        </w:rPr>
        <w:t xml:space="preserve">  Amerta Nutr</w:t>
      </w:r>
      <w:r w:rsidRPr="003F525C">
        <w:rPr>
          <w:rFonts w:ascii="Times New Roman" w:hAnsi="Times New Roman"/>
          <w:sz w:val="18"/>
          <w:szCs w:val="18"/>
        </w:rPr>
        <w:t xml:space="preserve"> 189-197.</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color w:val="131413"/>
          <w:sz w:val="18"/>
          <w:szCs w:val="18"/>
        </w:rPr>
        <w:t xml:space="preserve">Tiwari, P.C and  Joshi B. (2012).  Natural and socio-economic factors affecting food security in the Himalayas. </w:t>
      </w:r>
      <w:r w:rsidRPr="003F525C">
        <w:rPr>
          <w:rFonts w:ascii="Times New Roman" w:hAnsi="Times New Roman"/>
          <w:i/>
          <w:color w:val="131413"/>
          <w:sz w:val="18"/>
          <w:szCs w:val="18"/>
        </w:rPr>
        <w:t>Food Sec.</w:t>
      </w:r>
      <w:r w:rsidRPr="003F525C">
        <w:rPr>
          <w:rFonts w:ascii="Times New Roman" w:hAnsi="Times New Roman"/>
          <w:color w:val="131413"/>
          <w:sz w:val="18"/>
          <w:szCs w:val="18"/>
        </w:rPr>
        <w:t xml:space="preserve"> 4:195–207. DOI 10.1007/s12571-012-0178-z</w:t>
      </w:r>
    </w:p>
    <w:p w:rsidR="004D0A3A"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bCs/>
          <w:sz w:val="18"/>
          <w:szCs w:val="18"/>
        </w:rPr>
        <w:t>Pusat penganekaragaman Konsumsi dan keamanan pangan Badan ketahanan pangan (2015). Rencana Strategis Pusat Penganekaragaman Konsumsi Dan Keamanan Pangan.</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color w:val="131413"/>
          <w:sz w:val="18"/>
          <w:szCs w:val="18"/>
        </w:rPr>
        <w:t xml:space="preserve">Tandon, P.J., Zhou, C., Sallis, J.,  Cain3, LK., Frank, L., and Saelens, B. 2012.  Home environment relationships with children’s physical activity, sedentary time, and screen time by socioeconomic status. </w:t>
      </w:r>
      <w:r w:rsidRPr="003F525C">
        <w:rPr>
          <w:rFonts w:ascii="Times New Roman" w:hAnsi="Times New Roman"/>
          <w:i/>
          <w:color w:val="131413"/>
          <w:sz w:val="18"/>
          <w:szCs w:val="18"/>
        </w:rPr>
        <w:t>International Journal of Behavioral Nutrition and Physical Activity.</w:t>
      </w:r>
      <w:r w:rsidRPr="003F525C">
        <w:rPr>
          <w:rFonts w:ascii="Times New Roman" w:hAnsi="Times New Roman"/>
          <w:color w:val="131413"/>
          <w:sz w:val="18"/>
          <w:szCs w:val="18"/>
        </w:rPr>
        <w:t>2012.</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sz w:val="18"/>
          <w:szCs w:val="18"/>
        </w:rPr>
        <w:t xml:space="preserve">Krølner, R, Rasmussen, M, Brug, J, Klepp, KI, Wind, M., Due, P (2011). Determinants of fruit and vegetable consumption among children and adolescents: a review of the literature. Part II: qualitative studies  </w:t>
      </w:r>
      <w:r w:rsidRPr="003F525C">
        <w:rPr>
          <w:rFonts w:ascii="Times New Roman" w:hAnsi="Times New Roman"/>
          <w:i/>
          <w:sz w:val="18"/>
          <w:szCs w:val="18"/>
        </w:rPr>
        <w:t>International Journal of Behavioral Nutrition and Physical Activity</w:t>
      </w:r>
      <w:r w:rsidRPr="003F525C">
        <w:rPr>
          <w:rFonts w:ascii="Times New Roman" w:hAnsi="Times New Roman"/>
          <w:sz w:val="18"/>
          <w:szCs w:val="18"/>
        </w:rPr>
        <w:t>.8:112.</w:t>
      </w:r>
    </w:p>
    <w:p w:rsidR="004D0A3A" w:rsidRPr="003F525C" w:rsidRDefault="004D0A3A" w:rsidP="004D0A3A">
      <w:pPr>
        <w:pStyle w:val="ListParagraph"/>
        <w:numPr>
          <w:ilvl w:val="0"/>
          <w:numId w:val="18"/>
        </w:numPr>
        <w:jc w:val="both"/>
        <w:rPr>
          <w:rStyle w:val="A7"/>
          <w:rFonts w:ascii="Times New Roman" w:hAnsi="Times New Roman"/>
          <w:bCs/>
          <w:i w:val="0"/>
          <w:iCs w:val="0"/>
          <w:lang w:val="id-ID"/>
        </w:rPr>
      </w:pPr>
      <w:r w:rsidRPr="003F525C">
        <w:rPr>
          <w:rFonts w:ascii="Times New Roman" w:hAnsi="Times New Roman"/>
          <w:sz w:val="18"/>
          <w:szCs w:val="18"/>
        </w:rPr>
        <w:t>Mohammad A, dan Madanijah S (</w:t>
      </w:r>
      <w:r w:rsidRPr="003F525C">
        <w:rPr>
          <w:rStyle w:val="A7"/>
          <w:rFonts w:ascii="Times New Roman" w:hAnsi="Times New Roman"/>
        </w:rPr>
        <w:t>2015)</w:t>
      </w:r>
      <w:r w:rsidRPr="003F525C">
        <w:rPr>
          <w:rStyle w:val="A2"/>
          <w:rFonts w:ascii="Times New Roman" w:hAnsi="Times New Roman"/>
          <w:sz w:val="18"/>
          <w:szCs w:val="18"/>
        </w:rPr>
        <w:t xml:space="preserve">. </w:t>
      </w:r>
      <w:r w:rsidRPr="003F525C">
        <w:rPr>
          <w:rFonts w:ascii="Times New Roman" w:hAnsi="Times New Roman"/>
          <w:bCs/>
          <w:sz w:val="18"/>
          <w:szCs w:val="18"/>
        </w:rPr>
        <w:t xml:space="preserve">Konsumsi buah dan sayur anak usia sekolah dasar di bogor. </w:t>
      </w:r>
      <w:r w:rsidRPr="003F525C">
        <w:rPr>
          <w:rStyle w:val="A7"/>
          <w:rFonts w:ascii="Times New Roman" w:hAnsi="Times New Roman"/>
        </w:rPr>
        <w:t>J. Gizi Pangan. 10(1): 71-76 ISSN 1978-1059.</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color w:val="131413"/>
          <w:sz w:val="18"/>
          <w:szCs w:val="18"/>
        </w:rPr>
        <w:t xml:space="preserve">DeSmet A , Liu Y, Bourdeaudhuij D I, Baranowski T and Thompson D (2017). The effectiveness of asking behaviors among 9–11 year-old children in increasing home availability and children’s intake of fruit and vegetables: results from the Squire’s Quest II self-regulation game intervention. </w:t>
      </w:r>
      <w:r w:rsidRPr="003F525C">
        <w:rPr>
          <w:rFonts w:ascii="Times New Roman" w:hAnsi="Times New Roman"/>
          <w:i/>
          <w:color w:val="131413"/>
          <w:sz w:val="18"/>
          <w:szCs w:val="18"/>
        </w:rPr>
        <w:t>International Journal of Behavioral Nutrition and Physical Activity</w:t>
      </w:r>
      <w:r w:rsidRPr="003F525C">
        <w:rPr>
          <w:rFonts w:ascii="Times New Roman" w:hAnsi="Times New Roman"/>
          <w:color w:val="131413"/>
          <w:sz w:val="18"/>
          <w:szCs w:val="18"/>
        </w:rPr>
        <w:t>. 14:51</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iCs/>
          <w:sz w:val="18"/>
          <w:szCs w:val="18"/>
        </w:rPr>
        <w:t xml:space="preserve">Cesare, M., Bhatti, Z., Soofi, S., Fortunato, L., Ezzati, M., and Bhutta, Z. 2015. </w:t>
      </w:r>
      <w:r w:rsidRPr="003F525C">
        <w:rPr>
          <w:rFonts w:ascii="Times New Roman" w:hAnsi="Times New Roman"/>
          <w:bCs/>
          <w:sz w:val="18"/>
          <w:szCs w:val="18"/>
        </w:rPr>
        <w:t>Geographical and socioeconomic inequalities in women and children’s nutritional status in Pakistan in 2011: an analysis of data from a nationally representative survey</w:t>
      </w:r>
      <w:r w:rsidRPr="003F525C">
        <w:rPr>
          <w:rFonts w:ascii="Times New Roman" w:hAnsi="Times New Roman"/>
          <w:bCs/>
          <w:iCs/>
          <w:sz w:val="18"/>
          <w:szCs w:val="18"/>
        </w:rPr>
        <w:t xml:space="preserve">. </w:t>
      </w:r>
      <w:r w:rsidRPr="003F525C">
        <w:rPr>
          <w:rFonts w:ascii="Times New Roman" w:hAnsi="Times New Roman"/>
          <w:bCs/>
          <w:i/>
          <w:iCs/>
          <w:sz w:val="18"/>
          <w:szCs w:val="18"/>
        </w:rPr>
        <w:t>Lancet Glob Health</w:t>
      </w:r>
      <w:r w:rsidRPr="003F525C">
        <w:rPr>
          <w:rFonts w:ascii="Times New Roman" w:hAnsi="Times New Roman"/>
          <w:bCs/>
          <w:sz w:val="18"/>
          <w:szCs w:val="18"/>
        </w:rPr>
        <w:t>. 3: e229–39</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sz w:val="18"/>
          <w:szCs w:val="18"/>
        </w:rPr>
        <w:t>Martorell, R., Horta, B., Adair, L., Stein, A., Richter, L., Fall, C., Bhargava, S., Biswas., K and Perez, L. 2010. Weight gain in the first two years</w:t>
      </w:r>
      <w:r w:rsidRPr="003F525C">
        <w:rPr>
          <w:rFonts w:ascii="Times New Roman" w:hAnsi="Times New Roman"/>
          <w:color w:val="131413"/>
          <w:sz w:val="18"/>
          <w:szCs w:val="18"/>
        </w:rPr>
        <w:t xml:space="preserve"> </w:t>
      </w:r>
      <w:r w:rsidRPr="003F525C">
        <w:rPr>
          <w:rFonts w:ascii="Times New Roman" w:hAnsi="Times New Roman"/>
          <w:sz w:val="18"/>
          <w:szCs w:val="18"/>
        </w:rPr>
        <w:t>of life is an important predictor of schooling outcomes</w:t>
      </w:r>
      <w:r w:rsidRPr="003F525C">
        <w:rPr>
          <w:rFonts w:ascii="Times New Roman" w:hAnsi="Times New Roman"/>
          <w:color w:val="131413"/>
          <w:sz w:val="18"/>
          <w:szCs w:val="18"/>
        </w:rPr>
        <w:t xml:space="preserve"> </w:t>
      </w:r>
      <w:r w:rsidRPr="003F525C">
        <w:rPr>
          <w:rFonts w:ascii="Times New Roman" w:hAnsi="Times New Roman"/>
          <w:sz w:val="18"/>
          <w:szCs w:val="18"/>
        </w:rPr>
        <w:t>in pooled analyses from five birth cohorts from low- and</w:t>
      </w:r>
      <w:r w:rsidRPr="003F525C">
        <w:rPr>
          <w:rFonts w:ascii="Times New Roman" w:hAnsi="Times New Roman"/>
          <w:color w:val="131413"/>
          <w:sz w:val="18"/>
          <w:szCs w:val="18"/>
        </w:rPr>
        <w:t xml:space="preserve"> </w:t>
      </w:r>
      <w:r w:rsidRPr="003F525C">
        <w:rPr>
          <w:rFonts w:ascii="Times New Roman" w:hAnsi="Times New Roman"/>
          <w:sz w:val="18"/>
          <w:szCs w:val="18"/>
        </w:rPr>
        <w:t xml:space="preserve">middle-income countries. </w:t>
      </w:r>
      <w:r w:rsidRPr="003F525C">
        <w:rPr>
          <w:rFonts w:ascii="Times New Roman" w:hAnsi="Times New Roman"/>
          <w:i/>
          <w:iCs/>
          <w:sz w:val="18"/>
          <w:szCs w:val="18"/>
        </w:rPr>
        <w:t xml:space="preserve">J. Nutr. </w:t>
      </w:r>
      <w:r w:rsidRPr="003F525C">
        <w:rPr>
          <w:rFonts w:ascii="Times New Roman" w:hAnsi="Times New Roman"/>
          <w:bCs/>
          <w:sz w:val="18"/>
          <w:szCs w:val="18"/>
        </w:rPr>
        <w:t>140</w:t>
      </w:r>
      <w:r w:rsidRPr="003F525C">
        <w:rPr>
          <w:rFonts w:ascii="Times New Roman" w:hAnsi="Times New Roman"/>
          <w:b/>
          <w:bCs/>
          <w:sz w:val="18"/>
          <w:szCs w:val="18"/>
        </w:rPr>
        <w:t xml:space="preserve">: </w:t>
      </w:r>
      <w:r w:rsidRPr="003F525C">
        <w:rPr>
          <w:rFonts w:ascii="Times New Roman" w:hAnsi="Times New Roman"/>
          <w:sz w:val="18"/>
          <w:szCs w:val="18"/>
        </w:rPr>
        <w:t>348–354.</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sz w:val="18"/>
          <w:szCs w:val="18"/>
        </w:rPr>
        <w:t xml:space="preserve">Baek,Y.J., Paik, H.Y. and Shim, E.J. 2014. Association between family structure and food group intake in children. The Korean Nutrition Society and the Korean Society of Community Nutrition. </w:t>
      </w:r>
      <w:r w:rsidRPr="003F525C">
        <w:rPr>
          <w:rFonts w:ascii="Times New Roman" w:hAnsi="Times New Roman"/>
          <w:i/>
          <w:sz w:val="18"/>
          <w:szCs w:val="18"/>
        </w:rPr>
        <w:t>Nutrition Research and Practice</w:t>
      </w:r>
      <w:r w:rsidRPr="003F525C">
        <w:rPr>
          <w:rFonts w:ascii="Times New Roman" w:hAnsi="Times New Roman"/>
          <w:sz w:val="18"/>
          <w:szCs w:val="18"/>
        </w:rPr>
        <w:t>. ;8(4):463-468.</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sz w:val="18"/>
          <w:szCs w:val="18"/>
        </w:rPr>
        <w:t xml:space="preserve">Dwi, Y., Irwanto and Wibowo, A. (2016). The Relationship between Nutritional Status and Learning Achievement of School-Age Children in Elementary School. </w:t>
      </w:r>
      <w:r w:rsidRPr="003F525C">
        <w:rPr>
          <w:rFonts w:ascii="Times New Roman" w:hAnsi="Times New Roman"/>
          <w:i/>
          <w:sz w:val="18"/>
          <w:szCs w:val="18"/>
        </w:rPr>
        <w:t>Dama International Journal of Researchers</w:t>
      </w:r>
      <w:r w:rsidRPr="003F525C">
        <w:rPr>
          <w:rFonts w:ascii="Times New Roman" w:hAnsi="Times New Roman"/>
          <w:sz w:val="18"/>
          <w:szCs w:val="18"/>
        </w:rPr>
        <w:t xml:space="preserve"> (DIJR), ISSN: 2343-6743, 1(7), pp. 1–4.</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sz w:val="18"/>
          <w:szCs w:val="18"/>
        </w:rPr>
        <w:t xml:space="preserve">Birhane, T., Shiferaw, S., Hagos, S and Mohindra, K.2014. Urban food insecurity in the context of high food prices: a community based cross sectional study in Addis Ababa, Ethiopia. </w:t>
      </w:r>
      <w:r w:rsidRPr="003F525C">
        <w:rPr>
          <w:rFonts w:ascii="Times New Roman" w:hAnsi="Times New Roman"/>
          <w:i/>
          <w:sz w:val="18"/>
          <w:szCs w:val="18"/>
        </w:rPr>
        <w:t>BMC Public Health</w:t>
      </w:r>
      <w:r w:rsidRPr="003F525C">
        <w:rPr>
          <w:rFonts w:ascii="Times New Roman" w:hAnsi="Times New Roman"/>
          <w:sz w:val="18"/>
          <w:szCs w:val="18"/>
        </w:rPr>
        <w:t>, 14:680</w:t>
      </w:r>
    </w:p>
    <w:p w:rsidR="004D0A3A" w:rsidRPr="003F525C" w:rsidRDefault="004D0A3A" w:rsidP="004D0A3A">
      <w:pPr>
        <w:pStyle w:val="ListParagraph"/>
        <w:numPr>
          <w:ilvl w:val="0"/>
          <w:numId w:val="18"/>
        </w:numPr>
        <w:jc w:val="both"/>
        <w:rPr>
          <w:rFonts w:ascii="Times New Roman" w:hAnsi="Times New Roman"/>
          <w:bCs/>
          <w:sz w:val="18"/>
          <w:szCs w:val="18"/>
        </w:rPr>
      </w:pPr>
      <w:r w:rsidRPr="003F525C">
        <w:rPr>
          <w:rFonts w:ascii="Times New Roman" w:hAnsi="Times New Roman"/>
          <w:sz w:val="18"/>
          <w:szCs w:val="18"/>
        </w:rPr>
        <w:t xml:space="preserve">O’Connor MT., Hughes, S., Watson, K., Baranowski, T., Nicklas, T.,  Fisher, J., Beltran, A., Baranowski, J., Qu, H., Shewchuk, R (2009).Parenting practices are associated with fruit and vegetable consumption in pre school children. </w:t>
      </w:r>
      <w:r w:rsidRPr="003F525C">
        <w:rPr>
          <w:rFonts w:ascii="Times New Roman" w:hAnsi="Times New Roman"/>
          <w:i/>
          <w:sz w:val="18"/>
          <w:szCs w:val="18"/>
        </w:rPr>
        <w:t>Public Health Nutrition</w:t>
      </w:r>
      <w:r w:rsidRPr="003F525C">
        <w:rPr>
          <w:rFonts w:ascii="Times New Roman" w:hAnsi="Times New Roman"/>
          <w:sz w:val="18"/>
          <w:szCs w:val="18"/>
        </w:rPr>
        <w:t>. 13(1), 91–101.</w:t>
      </w: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3105D" w:rsidRDefault="0053105D" w:rsidP="005B6F8B">
      <w:pPr>
        <w:jc w:val="both"/>
        <w:rPr>
          <w:bCs/>
          <w:sz w:val="18"/>
          <w:szCs w:val="18"/>
          <w:lang w:val="id-ID"/>
        </w:rPr>
      </w:pPr>
    </w:p>
    <w:p w:rsidR="0053105D" w:rsidRDefault="0053105D" w:rsidP="005B6F8B">
      <w:pPr>
        <w:jc w:val="both"/>
        <w:rPr>
          <w:bCs/>
          <w:sz w:val="18"/>
          <w:szCs w:val="18"/>
          <w:lang w:val="id-ID"/>
        </w:rPr>
      </w:pPr>
    </w:p>
    <w:p w:rsidR="005B6F8B" w:rsidRDefault="005B6F8B" w:rsidP="005B6F8B">
      <w:pPr>
        <w:jc w:val="both"/>
        <w:rPr>
          <w:bCs/>
          <w:sz w:val="18"/>
          <w:szCs w:val="18"/>
          <w:lang w:val="id-ID"/>
        </w:rPr>
      </w:pPr>
    </w:p>
    <w:p w:rsidR="00686F1C" w:rsidRDefault="00686F1C" w:rsidP="005B6F8B">
      <w:pPr>
        <w:jc w:val="both"/>
        <w:rPr>
          <w:bCs/>
          <w:sz w:val="18"/>
          <w:szCs w:val="18"/>
          <w:lang w:val="id-ID"/>
        </w:rPr>
      </w:pPr>
    </w:p>
    <w:p w:rsidR="00686F1C" w:rsidRDefault="00686F1C" w:rsidP="005B6F8B">
      <w:pPr>
        <w:jc w:val="both"/>
        <w:rPr>
          <w:bCs/>
          <w:sz w:val="18"/>
          <w:szCs w:val="18"/>
          <w:lang w:val="id-ID"/>
        </w:rPr>
      </w:pPr>
    </w:p>
    <w:p w:rsidR="005B6F8B" w:rsidRDefault="005B6F8B" w:rsidP="005B6F8B">
      <w:pPr>
        <w:jc w:val="both"/>
        <w:rPr>
          <w:bCs/>
          <w:sz w:val="18"/>
          <w:szCs w:val="18"/>
          <w:lang w:val="id-ID"/>
        </w:rPr>
      </w:pPr>
    </w:p>
    <w:p w:rsidR="005B6F8B" w:rsidRDefault="005B6F8B" w:rsidP="005B6F8B">
      <w:pPr>
        <w:jc w:val="both"/>
        <w:rPr>
          <w:bCs/>
          <w:sz w:val="18"/>
          <w:szCs w:val="18"/>
          <w:lang w:val="id-ID"/>
        </w:rPr>
      </w:pPr>
    </w:p>
    <w:p w:rsidR="005B6F8B" w:rsidRPr="005B6F8B" w:rsidRDefault="005B6F8B" w:rsidP="005B6F8B">
      <w:pPr>
        <w:jc w:val="both"/>
        <w:rPr>
          <w:bCs/>
          <w:sz w:val="18"/>
          <w:szCs w:val="18"/>
          <w:lang w:val="id-ID"/>
        </w:rPr>
      </w:pPr>
    </w:p>
    <w:p w:rsidR="00DC341B" w:rsidRDefault="00DC341B" w:rsidP="00C35B8F">
      <w:pPr>
        <w:jc w:val="both"/>
        <w:rPr>
          <w:color w:val="000000"/>
          <w:sz w:val="18"/>
          <w:szCs w:val="18"/>
        </w:rPr>
      </w:pPr>
    </w:p>
    <w:p w:rsidR="00231A19" w:rsidRDefault="00F33C08" w:rsidP="00231A19">
      <w:pPr>
        <w:rPr>
          <w:b/>
          <w:bCs/>
        </w:rPr>
      </w:pPr>
      <w:r>
        <w:rPr>
          <w:rStyle w:val="apple-style-span"/>
          <w:b/>
          <w:color w:val="000000"/>
          <w:lang w:val="pt-BR"/>
        </w:rPr>
        <w:t>BIOGRAPH</w:t>
      </w:r>
      <w:r w:rsidR="0058279C">
        <w:rPr>
          <w:rStyle w:val="apple-style-span"/>
          <w:b/>
          <w:color w:val="000000"/>
          <w:lang w:val="pt-BR"/>
        </w:rPr>
        <w:t>IES</w:t>
      </w:r>
      <w:r>
        <w:rPr>
          <w:rStyle w:val="apple-style-span"/>
          <w:b/>
          <w:color w:val="000000"/>
          <w:lang w:val="pt-BR"/>
        </w:rPr>
        <w:t xml:space="preserve"> OF AUTHORS </w:t>
      </w:r>
      <w:r>
        <w:rPr>
          <w:b/>
          <w:bCs/>
        </w:rPr>
        <w:t>(10 PT)</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r w:rsidRPr="00231A19">
              <w:rPr>
                <w:color w:val="000000"/>
                <w:sz w:val="18"/>
                <w:szCs w:val="18"/>
              </w:rPr>
              <w:t>Xxxx (9 pt)</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r w:rsidRPr="00231A19">
              <w:rPr>
                <w:color w:val="000000"/>
                <w:sz w:val="18"/>
                <w:szCs w:val="18"/>
              </w:rPr>
              <w:t>Xxxx (9 pt)</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Thirth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r w:rsidRPr="00231A19">
              <w:rPr>
                <w:color w:val="000000"/>
                <w:sz w:val="18"/>
                <w:szCs w:val="18"/>
              </w:rPr>
              <w:t>Xxxx (9 pt)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85352C">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87A" w:rsidRDefault="00E7287A">
      <w:r>
        <w:separator/>
      </w:r>
    </w:p>
  </w:endnote>
  <w:endnote w:type="continuationSeparator" w:id="1">
    <w:p w:rsidR="00E7287A" w:rsidRDefault="00E7287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dvGaramond-ITC-L">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CE5E34" w:rsidP="00C07BEF">
    <w:pPr>
      <w:pStyle w:val="Header"/>
      <w:tabs>
        <w:tab w:val="clear" w:pos="4320"/>
        <w:tab w:val="clear" w:pos="8640"/>
        <w:tab w:val="left" w:pos="2992"/>
      </w:tabs>
      <w:spacing w:before="240"/>
    </w:pPr>
    <w:r w:rsidRPr="00CE5E34">
      <w:rPr>
        <w:noProof/>
        <w:lang w:val="en-GB" w:eastAsia="en-GB"/>
      </w:rPr>
      <w:pict>
        <v:line id="Line 3" o:spid="_x0000_s4098" style="position:absolute;z-index:251661312;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A95D9A">
      <w:t>IJPHS</w:t>
    </w:r>
    <w:r w:rsidR="002300EC" w:rsidRPr="003D5B84">
      <w:t xml:space="preserve">Vol. </w:t>
    </w:r>
    <w:r w:rsidR="0052080C">
      <w:t>x</w:t>
    </w:r>
    <w:r w:rsidR="002300EC" w:rsidRPr="003D5B84">
      <w:t xml:space="preserve">, No. </w:t>
    </w:r>
    <w:r w:rsidR="0052080C">
      <w:t>x</w:t>
    </w:r>
    <w:r w:rsidR="002300EC" w:rsidRPr="003D5B84">
      <w:t xml:space="preserve">, </w:t>
    </w:r>
    <w:r w:rsidR="0052080C">
      <w:t>Month 201x</w:t>
    </w:r>
    <w:bookmarkStart w:id="0" w:name="_GoBack"/>
    <w:bookmarkEnd w:id="0"/>
    <w:r w:rsidR="002300EC" w:rsidRPr="003D5B84">
      <w:t>: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C07BEF" w:rsidRDefault="002300EC"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2300EC"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w:t>
    </w:r>
    <w:r w:rsidRPr="00C854C1">
      <w:rPr>
        <w:i/>
        <w:szCs w:val="18"/>
      </w:rPr>
      <w:t>.com/</w:t>
    </w:r>
    <w:r w:rsidR="00A95D9A">
      <w:rPr>
        <w:i/>
        <w:szCs w:val="18"/>
      </w:rPr>
      <w:t>online/index.php/IJPHS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87A" w:rsidRDefault="00E7287A">
      <w:r>
        <w:separator/>
      </w:r>
    </w:p>
  </w:footnote>
  <w:footnote w:type="continuationSeparator" w:id="1">
    <w:p w:rsidR="00E7287A" w:rsidRDefault="00E728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CE5E34" w:rsidP="008B04B3">
    <w:pPr>
      <w:pStyle w:val="Header"/>
      <w:framePr w:wrap="around" w:vAnchor="text" w:hAnchor="margin" w:xAlign="outside" w:y="1"/>
      <w:rPr>
        <w:rStyle w:val="PageNumber"/>
      </w:rPr>
    </w:pPr>
    <w:r w:rsidRPr="003D5B84">
      <w:rPr>
        <w:rStyle w:val="PageNumber"/>
      </w:rPr>
      <w:fldChar w:fldCharType="begin"/>
    </w:r>
    <w:r w:rsidR="002300EC" w:rsidRPr="003D5B84">
      <w:rPr>
        <w:rStyle w:val="PageNumber"/>
      </w:rPr>
      <w:instrText xml:space="preserve">PAGE  </w:instrText>
    </w:r>
    <w:r w:rsidRPr="003D5B84">
      <w:rPr>
        <w:rStyle w:val="PageNumber"/>
      </w:rPr>
      <w:fldChar w:fldCharType="separate"/>
    </w:r>
    <w:r w:rsidR="00853CE9">
      <w:rPr>
        <w:rStyle w:val="PageNumber"/>
        <w:noProof/>
      </w:rPr>
      <w:t>104</w:t>
    </w:r>
    <w:r w:rsidRPr="003D5B84">
      <w:rPr>
        <w:rStyle w:val="PageNumber"/>
      </w:rPr>
      <w:fldChar w:fldCharType="end"/>
    </w:r>
  </w:p>
  <w:p w:rsidR="002300EC" w:rsidRPr="003D5B84" w:rsidRDefault="00CE5E34" w:rsidP="00C07BEF">
    <w:pPr>
      <w:pStyle w:val="Header"/>
      <w:tabs>
        <w:tab w:val="clear" w:pos="4320"/>
        <w:tab w:val="clear" w:pos="8640"/>
        <w:tab w:val="right" w:pos="851"/>
        <w:tab w:val="left" w:pos="3405"/>
        <w:tab w:val="right" w:pos="8789"/>
      </w:tabs>
      <w:spacing w:after="240"/>
    </w:pPr>
    <w:r w:rsidRPr="00CE5E34">
      <w:rPr>
        <w:noProof/>
        <w:lang w:val="en-GB" w:eastAsia="en-GB"/>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2300EC" w:rsidRPr="003D5B84">
      <w:tab/>
    </w:r>
    <w:r w:rsidR="002300EC">
      <w:sym w:font="Wingdings" w:char="F072"/>
    </w:r>
    <w:r w:rsidR="002300EC" w:rsidRPr="003D5B84">
      <w:tab/>
    </w:r>
    <w:r w:rsidR="002300EC" w:rsidRPr="003D5B84">
      <w:tab/>
      <w:t xml:space="preserve">       ISSN</w:t>
    </w:r>
    <w:r w:rsidR="002300EC">
      <w:t>:</w:t>
    </w:r>
    <w:r w:rsidR="00A95D9A">
      <w:t xml:space="preserve"> 2252-8806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CE5E34" w:rsidP="00F173DD">
    <w:pPr>
      <w:pStyle w:val="Header"/>
      <w:framePr w:wrap="around" w:vAnchor="text" w:hAnchor="margin" w:xAlign="outside" w:y="1"/>
      <w:rPr>
        <w:rStyle w:val="PageNumber"/>
      </w:rPr>
    </w:pPr>
    <w:r w:rsidRPr="003D5B84">
      <w:rPr>
        <w:rStyle w:val="PageNumber"/>
      </w:rPr>
      <w:fldChar w:fldCharType="begin"/>
    </w:r>
    <w:r w:rsidR="002300EC" w:rsidRPr="003D5B84">
      <w:rPr>
        <w:rStyle w:val="PageNumber"/>
      </w:rPr>
      <w:instrText xml:space="preserve">PAGE  </w:instrText>
    </w:r>
    <w:r w:rsidRPr="003D5B84">
      <w:rPr>
        <w:rStyle w:val="PageNumber"/>
      </w:rPr>
      <w:fldChar w:fldCharType="separate"/>
    </w:r>
    <w:r w:rsidR="00853CE9">
      <w:rPr>
        <w:rStyle w:val="PageNumber"/>
        <w:noProof/>
      </w:rPr>
      <w:t>105</w:t>
    </w:r>
    <w:r w:rsidRPr="003D5B84">
      <w:rPr>
        <w:rStyle w:val="PageNumber"/>
      </w:rPr>
      <w:fldChar w:fldCharType="end"/>
    </w:r>
  </w:p>
  <w:p w:rsidR="002300EC" w:rsidRPr="003D5B84" w:rsidRDefault="00467A38" w:rsidP="00C07BEF">
    <w:pPr>
      <w:pStyle w:val="Header"/>
      <w:pBdr>
        <w:bottom w:val="single" w:sz="4" w:space="1" w:color="auto"/>
      </w:pBdr>
      <w:tabs>
        <w:tab w:val="clear" w:pos="4320"/>
        <w:tab w:val="clear" w:pos="8640"/>
        <w:tab w:val="left" w:pos="0"/>
        <w:tab w:val="center" w:pos="4301"/>
        <w:tab w:val="left" w:pos="7938"/>
      </w:tabs>
    </w:pPr>
    <w:r>
      <w:t xml:space="preserve">IJPHS </w:t>
    </w:r>
    <w:r>
      <w:tab/>
      <w:t xml:space="preserve">ISSN: </w:t>
    </w:r>
    <w:r w:rsidR="002300EC" w:rsidRPr="003D5B84">
      <w:tab/>
    </w:r>
    <w:r w:rsidR="002300EC">
      <w:sym w:font="Wingdings" w:char="F072"/>
    </w:r>
  </w:p>
  <w:p w:rsidR="002300EC" w:rsidRPr="003D5B84" w:rsidRDefault="002300EC"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8571BC" w:rsidP="008B04B3">
    <w:pPr>
      <w:pStyle w:val="Header"/>
      <w:tabs>
        <w:tab w:val="clear" w:pos="4320"/>
        <w:tab w:val="clear" w:pos="8640"/>
      </w:tabs>
      <w:ind w:right="45"/>
      <w:rPr>
        <w:b/>
      </w:rPr>
    </w:pPr>
    <w:r w:rsidRPr="00793D8D">
      <w:rPr>
        <w:b/>
      </w:rPr>
      <w:t>International Journal of</w:t>
    </w:r>
    <w:r w:rsidR="00E463DB">
      <w:rPr>
        <w:b/>
        <w:lang w:val="id-ID"/>
      </w:rPr>
      <w:t xml:space="preserve"> </w:t>
    </w:r>
    <w:r w:rsidRPr="00C34FF6">
      <w:rPr>
        <w:b/>
      </w:rPr>
      <w:t>Public Health Science (IJPHS)</w:t>
    </w:r>
  </w:p>
  <w:p w:rsidR="002300EC" w:rsidRPr="005636A9" w:rsidRDefault="002300EC" w:rsidP="008B04B3">
    <w:pPr>
      <w:pStyle w:val="Header"/>
      <w:tabs>
        <w:tab w:val="clear" w:pos="4320"/>
        <w:tab w:val="clear" w:pos="8640"/>
      </w:tabs>
      <w:ind w:right="45"/>
      <w:rPr>
        <w:lang w:val="id-ID"/>
      </w:rPr>
    </w:pPr>
    <w:r w:rsidRPr="003D5B84">
      <w:t>Vol.</w:t>
    </w:r>
    <w:r w:rsidR="005636A9">
      <w:rPr>
        <w:lang w:val="id-ID"/>
      </w:rPr>
      <w:t xml:space="preserve"> </w:t>
    </w:r>
    <w:r w:rsidRPr="003D5B84">
      <w:t>, No.</w:t>
    </w:r>
    <w:r w:rsidR="005636A9">
      <w:t xml:space="preserve"> </w:t>
    </w:r>
    <w:r w:rsidR="0052080C">
      <w:t>, Month</w:t>
    </w:r>
    <w:r w:rsidR="005636A9">
      <w:rPr>
        <w:lang w:val="id-ID"/>
      </w:rPr>
      <w:t xml:space="preserve"> </w:t>
    </w:r>
    <w:r w:rsidR="005636A9">
      <w:t xml:space="preserve">, pp. </w:t>
    </w:r>
  </w:p>
  <w:p w:rsidR="002300EC" w:rsidRPr="003D5B84" w:rsidRDefault="005636A9" w:rsidP="00957C11">
    <w:pPr>
      <w:pStyle w:val="Header"/>
      <w:tabs>
        <w:tab w:val="clear" w:pos="4320"/>
        <w:tab w:val="clear" w:pos="8640"/>
        <w:tab w:val="left" w:pos="7938"/>
        <w:tab w:val="right" w:pos="8789"/>
      </w:tabs>
      <w:rPr>
        <w:rStyle w:val="PageNumber"/>
      </w:rPr>
    </w:pPr>
    <w:r>
      <w:t xml:space="preserve">ISSN: </w:t>
    </w:r>
    <w:r w:rsidR="00510EA6">
      <w:t>,</w:t>
    </w:r>
    <w:r w:rsidR="00A95D9A">
      <w:t>DOI:</w:t>
    </w:r>
    <w:r w:rsidR="002300EC" w:rsidRPr="003D5B84">
      <w:tab/>
    </w:r>
    <w:r w:rsidR="002300EC">
      <w:sym w:font="Wingdings" w:char="F072"/>
    </w:r>
    <w:r w:rsidR="002300EC" w:rsidRPr="003D5B84">
      <w:tab/>
    </w:r>
    <w:r w:rsidR="00CE5E34" w:rsidRPr="003D5B84">
      <w:rPr>
        <w:rStyle w:val="PageNumber"/>
      </w:rPr>
      <w:fldChar w:fldCharType="begin"/>
    </w:r>
    <w:r w:rsidR="002300EC" w:rsidRPr="003D5B84">
      <w:rPr>
        <w:rStyle w:val="PageNumber"/>
      </w:rPr>
      <w:instrText xml:space="preserve"> PAGE </w:instrText>
    </w:r>
    <w:r w:rsidR="00CE5E34" w:rsidRPr="003D5B84">
      <w:rPr>
        <w:rStyle w:val="PageNumber"/>
      </w:rPr>
      <w:fldChar w:fldCharType="separate"/>
    </w:r>
    <w:r w:rsidR="00027E76">
      <w:rPr>
        <w:rStyle w:val="PageNumber"/>
        <w:noProof/>
      </w:rPr>
      <w:t>101</w:t>
    </w:r>
    <w:r w:rsidR="00CE5E34" w:rsidRPr="003D5B84">
      <w:rPr>
        <w:rStyle w:val="PageNumber"/>
      </w:rPr>
      <w:fldChar w:fldCharType="end"/>
    </w:r>
  </w:p>
  <w:p w:rsidR="002300EC" w:rsidRPr="003D5B84" w:rsidRDefault="00CE5E34" w:rsidP="008B04B3">
    <w:pPr>
      <w:pStyle w:val="Header"/>
      <w:tabs>
        <w:tab w:val="clear" w:pos="4320"/>
        <w:tab w:val="clear" w:pos="8640"/>
      </w:tabs>
      <w:ind w:right="45"/>
      <w:jc w:val="right"/>
      <w:rPr>
        <w:rStyle w:val="PageNumber"/>
      </w:rPr>
    </w:pPr>
    <w:r w:rsidRPr="00CE5E34">
      <w:rPr>
        <w:noProof/>
        <w:lang w:val="en-GB" w:eastAsia="en-GB"/>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2300EC"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3E87EE5"/>
    <w:multiLevelType w:val="hybridMultilevel"/>
    <w:tmpl w:val="6194D18C"/>
    <w:lvl w:ilvl="0" w:tplc="85D818AC">
      <w:start w:val="1"/>
      <w:numFmt w:val="decimal"/>
      <w:lvlText w:val="[%1]"/>
      <w:lvlJc w:val="left"/>
      <w:pPr>
        <w:ind w:left="720" w:hanging="360"/>
      </w:pPr>
      <w:rPr>
        <w:rFonts w:hint="default"/>
        <w:b w:val="0"/>
        <w:i w:val="0"/>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7"/>
  </w:num>
  <w:num w:numId="4">
    <w:abstractNumId w:val="7"/>
  </w:num>
  <w:num w:numId="5">
    <w:abstractNumId w:val="10"/>
  </w:num>
  <w:num w:numId="6">
    <w:abstractNumId w:val="14"/>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00D"/>
    <w:rsid w:val="00015F2A"/>
    <w:rsid w:val="00017858"/>
    <w:rsid w:val="00027142"/>
    <w:rsid w:val="000279BE"/>
    <w:rsid w:val="00027E76"/>
    <w:rsid w:val="00034C84"/>
    <w:rsid w:val="000416A3"/>
    <w:rsid w:val="000437AE"/>
    <w:rsid w:val="000474E3"/>
    <w:rsid w:val="00047710"/>
    <w:rsid w:val="000523C5"/>
    <w:rsid w:val="00053FB7"/>
    <w:rsid w:val="0006020A"/>
    <w:rsid w:val="00060330"/>
    <w:rsid w:val="00060F5C"/>
    <w:rsid w:val="00061D77"/>
    <w:rsid w:val="00062720"/>
    <w:rsid w:val="00064A2F"/>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97A"/>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14B6"/>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4EC"/>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0E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1423"/>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1969"/>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44384"/>
    <w:rsid w:val="004503E9"/>
    <w:rsid w:val="00453463"/>
    <w:rsid w:val="004550E4"/>
    <w:rsid w:val="004637E8"/>
    <w:rsid w:val="00467368"/>
    <w:rsid w:val="004674CD"/>
    <w:rsid w:val="00467A38"/>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96F9B"/>
    <w:rsid w:val="004A0C8B"/>
    <w:rsid w:val="004A187E"/>
    <w:rsid w:val="004A335F"/>
    <w:rsid w:val="004A3F3D"/>
    <w:rsid w:val="004A4FDB"/>
    <w:rsid w:val="004A5FC0"/>
    <w:rsid w:val="004A7C83"/>
    <w:rsid w:val="004B1FFE"/>
    <w:rsid w:val="004B2F8C"/>
    <w:rsid w:val="004B4EDE"/>
    <w:rsid w:val="004B589F"/>
    <w:rsid w:val="004B661B"/>
    <w:rsid w:val="004B76DC"/>
    <w:rsid w:val="004B77AA"/>
    <w:rsid w:val="004C0B2C"/>
    <w:rsid w:val="004C3BEB"/>
    <w:rsid w:val="004C59ED"/>
    <w:rsid w:val="004C65D5"/>
    <w:rsid w:val="004D0A3A"/>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4B3C"/>
    <w:rsid w:val="00505F41"/>
    <w:rsid w:val="0050794C"/>
    <w:rsid w:val="0051075B"/>
    <w:rsid w:val="00510EA6"/>
    <w:rsid w:val="00511236"/>
    <w:rsid w:val="00511539"/>
    <w:rsid w:val="00512DE0"/>
    <w:rsid w:val="0051361F"/>
    <w:rsid w:val="00514E06"/>
    <w:rsid w:val="00515455"/>
    <w:rsid w:val="00516317"/>
    <w:rsid w:val="005174FF"/>
    <w:rsid w:val="0052080C"/>
    <w:rsid w:val="00520EC3"/>
    <w:rsid w:val="0052138C"/>
    <w:rsid w:val="005213A1"/>
    <w:rsid w:val="00523362"/>
    <w:rsid w:val="00523B26"/>
    <w:rsid w:val="0052442F"/>
    <w:rsid w:val="00526CFA"/>
    <w:rsid w:val="00527FB8"/>
    <w:rsid w:val="00530415"/>
    <w:rsid w:val="00530CAF"/>
    <w:rsid w:val="0053105D"/>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636A9"/>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6F8B"/>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25F7"/>
    <w:rsid w:val="005F3D1C"/>
    <w:rsid w:val="005F534C"/>
    <w:rsid w:val="005F75F8"/>
    <w:rsid w:val="006044C7"/>
    <w:rsid w:val="006123B6"/>
    <w:rsid w:val="00613977"/>
    <w:rsid w:val="0061627D"/>
    <w:rsid w:val="006206C7"/>
    <w:rsid w:val="00622EC4"/>
    <w:rsid w:val="0062488B"/>
    <w:rsid w:val="00626DE2"/>
    <w:rsid w:val="006327F1"/>
    <w:rsid w:val="00636167"/>
    <w:rsid w:val="00644417"/>
    <w:rsid w:val="00647075"/>
    <w:rsid w:val="006520D6"/>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6F1C"/>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A7C"/>
    <w:rsid w:val="00740C36"/>
    <w:rsid w:val="00741A8F"/>
    <w:rsid w:val="00742008"/>
    <w:rsid w:val="00743BA0"/>
    <w:rsid w:val="00747DFD"/>
    <w:rsid w:val="00754329"/>
    <w:rsid w:val="007547A1"/>
    <w:rsid w:val="00756A93"/>
    <w:rsid w:val="00756BEA"/>
    <w:rsid w:val="0075769A"/>
    <w:rsid w:val="00765DEF"/>
    <w:rsid w:val="00766E46"/>
    <w:rsid w:val="00770E6E"/>
    <w:rsid w:val="00771A7C"/>
    <w:rsid w:val="0077230A"/>
    <w:rsid w:val="00772725"/>
    <w:rsid w:val="00773EB7"/>
    <w:rsid w:val="007751AA"/>
    <w:rsid w:val="00777AD7"/>
    <w:rsid w:val="00784C44"/>
    <w:rsid w:val="00785CED"/>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22A"/>
    <w:rsid w:val="007E5812"/>
    <w:rsid w:val="007E68A5"/>
    <w:rsid w:val="007F125C"/>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3CE9"/>
    <w:rsid w:val="00854ED5"/>
    <w:rsid w:val="00855965"/>
    <w:rsid w:val="00856356"/>
    <w:rsid w:val="008563F2"/>
    <w:rsid w:val="008571BC"/>
    <w:rsid w:val="00860671"/>
    <w:rsid w:val="00860F0E"/>
    <w:rsid w:val="00862CD2"/>
    <w:rsid w:val="00863740"/>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C88"/>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37E1C"/>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0822"/>
    <w:rsid w:val="00A93118"/>
    <w:rsid w:val="00A95D9A"/>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1EB"/>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2D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4106"/>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039C"/>
    <w:rsid w:val="00CA5D84"/>
    <w:rsid w:val="00CC1960"/>
    <w:rsid w:val="00CD4F70"/>
    <w:rsid w:val="00CE1CF3"/>
    <w:rsid w:val="00CE5E34"/>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D05EE"/>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3DB"/>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287A"/>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1DF4"/>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1B4"/>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Heading 1 Char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ListParagraphChar">
    <w:name w:val="List Paragraph Char"/>
    <w:aliases w:val="Heading 1 Char1 Char"/>
    <w:link w:val="ListParagraph"/>
    <w:uiPriority w:val="34"/>
    <w:locked/>
    <w:rsid w:val="005F25F7"/>
    <w:rPr>
      <w:rFonts w:ascii="Calibri" w:hAnsi="Calibri"/>
      <w:sz w:val="22"/>
      <w:szCs w:val="22"/>
      <w:lang w:val="en-GB" w:eastAsia="en-GB"/>
    </w:rPr>
  </w:style>
  <w:style w:type="character" w:customStyle="1" w:styleId="HTMLPreformattedChar">
    <w:name w:val="HTML Preformatted Char"/>
    <w:basedOn w:val="DefaultParagraphFont"/>
    <w:link w:val="HTMLPreformatted"/>
    <w:uiPriority w:val="99"/>
    <w:rsid w:val="005F25F7"/>
    <w:rPr>
      <w:rFonts w:ascii="Courier New" w:hAnsi="Courier New" w:cs="Courier New"/>
    </w:rPr>
  </w:style>
  <w:style w:type="character" w:customStyle="1" w:styleId="A2">
    <w:name w:val="A2"/>
    <w:uiPriority w:val="99"/>
    <w:rsid w:val="005B6F8B"/>
    <w:rPr>
      <w:color w:val="000000"/>
      <w:sz w:val="14"/>
      <w:szCs w:val="14"/>
    </w:rPr>
  </w:style>
  <w:style w:type="character" w:customStyle="1" w:styleId="A7">
    <w:name w:val="A7"/>
    <w:uiPriority w:val="99"/>
    <w:rsid w:val="005B6F8B"/>
    <w:rPr>
      <w:i/>
      <w:iCs/>
      <w:color w:val="000000"/>
      <w:sz w:val="18"/>
      <w:szCs w:val="18"/>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21mu@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C2B3-93A0-4BA4-B680-9358E506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21</cp:revision>
  <cp:lastPrinted>2004-12-30T03:27:00Z</cp:lastPrinted>
  <dcterms:created xsi:type="dcterms:W3CDTF">2018-05-18T06:12:00Z</dcterms:created>
  <dcterms:modified xsi:type="dcterms:W3CDTF">2018-10-31T13:51:00Z</dcterms:modified>
</cp:coreProperties>
</file>